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05" w:rsidRDefault="00D33605" w:rsidP="00D33605">
      <w:pPr>
        <w:spacing w:line="440" w:lineRule="exact"/>
        <w:rPr>
          <w:rFonts w:eastAsia="標楷體"/>
          <w:b/>
          <w:color w:val="000000"/>
          <w:sz w:val="32"/>
          <w:szCs w:val="36"/>
        </w:rPr>
      </w:pPr>
      <w:r w:rsidRPr="001B0A33">
        <w:rPr>
          <w:rFonts w:eastAsia="標楷體" w:hint="eastAsia"/>
          <w:b/>
          <w:color w:val="000000"/>
          <w:sz w:val="32"/>
          <w:szCs w:val="36"/>
        </w:rPr>
        <w:t>高雄醫學大學研究生學術研究倫理教育實施要點</w:t>
      </w:r>
    </w:p>
    <w:p w:rsidR="006053A7" w:rsidRPr="006053A7" w:rsidRDefault="006053A7" w:rsidP="006053A7">
      <w:pPr>
        <w:spacing w:line="440" w:lineRule="exact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/>
          <w:b/>
          <w:color w:val="000000"/>
          <w:sz w:val="32"/>
          <w:szCs w:val="36"/>
        </w:rPr>
        <w:t>Kaohsiung Medical University</w:t>
      </w:r>
    </w:p>
    <w:p w:rsidR="006053A7" w:rsidRDefault="006053A7" w:rsidP="006053A7">
      <w:pPr>
        <w:spacing w:line="440" w:lineRule="exact"/>
        <w:rPr>
          <w:rFonts w:eastAsia="標楷體"/>
          <w:b/>
          <w:color w:val="000000"/>
          <w:sz w:val="32"/>
          <w:szCs w:val="36"/>
        </w:rPr>
      </w:pPr>
      <w:r w:rsidRPr="006053A7">
        <w:rPr>
          <w:rFonts w:eastAsia="標楷體"/>
          <w:b/>
          <w:color w:val="000000"/>
          <w:sz w:val="32"/>
          <w:szCs w:val="36"/>
        </w:rPr>
        <w:t xml:space="preserve">Directives Governing </w:t>
      </w:r>
      <w:r w:rsidR="009C023E" w:rsidRPr="009C023E">
        <w:rPr>
          <w:rFonts w:eastAsia="標楷體"/>
          <w:b/>
          <w:color w:val="000000"/>
          <w:sz w:val="32"/>
          <w:szCs w:val="36"/>
        </w:rPr>
        <w:t>the Implementation</w:t>
      </w:r>
      <w:r w:rsidR="009C023E">
        <w:rPr>
          <w:rFonts w:eastAsia="標楷體"/>
          <w:b/>
          <w:color w:val="000000"/>
          <w:sz w:val="32"/>
          <w:szCs w:val="36"/>
        </w:rPr>
        <w:t xml:space="preserve"> </w:t>
      </w:r>
      <w:r w:rsidR="00C205AD">
        <w:rPr>
          <w:rFonts w:eastAsia="標楷體"/>
          <w:b/>
          <w:color w:val="000000"/>
          <w:sz w:val="32"/>
          <w:szCs w:val="36"/>
        </w:rPr>
        <w:t xml:space="preserve">of </w:t>
      </w:r>
      <w:r w:rsidRPr="006053A7">
        <w:rPr>
          <w:rFonts w:eastAsia="標楷體"/>
          <w:b/>
          <w:color w:val="000000"/>
          <w:sz w:val="32"/>
          <w:szCs w:val="36"/>
        </w:rPr>
        <w:t>Academic Research Ethics Education for Postgraduate Students</w:t>
      </w:r>
    </w:p>
    <w:p w:rsidR="00D33605" w:rsidRPr="001B0A33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/>
          <w:noProof/>
          <w:color w:val="000000"/>
          <w:sz w:val="20"/>
        </w:rPr>
      </w:pPr>
    </w:p>
    <w:p w:rsidR="00D33605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Ansi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</w:t>
      </w:r>
      <w:r w:rsidRPr="001B0A33">
        <w:rPr>
          <w:rFonts w:eastAsia="標楷體" w:hint="eastAsia"/>
          <w:noProof/>
          <w:color w:val="000000"/>
          <w:sz w:val="20"/>
        </w:rPr>
        <w:t>6</w:t>
      </w:r>
      <w:r w:rsidRPr="001B0A33">
        <w:rPr>
          <w:rFonts w:eastAsia="標楷體"/>
          <w:noProof/>
          <w:color w:val="000000"/>
          <w:sz w:val="20"/>
        </w:rPr>
        <w:t>.0</w:t>
      </w:r>
      <w:r w:rsidRPr="001B0A33">
        <w:rPr>
          <w:rFonts w:eastAsia="標楷體" w:hint="eastAsia"/>
          <w:noProof/>
          <w:color w:val="000000"/>
          <w:sz w:val="20"/>
        </w:rPr>
        <w:t>1</w:t>
      </w:r>
      <w:r w:rsidRPr="001B0A33">
        <w:rPr>
          <w:rFonts w:eastAsia="標楷體"/>
          <w:noProof/>
          <w:color w:val="000000"/>
          <w:sz w:val="20"/>
        </w:rPr>
        <w:t>.</w:t>
      </w:r>
      <w:r w:rsidRPr="001B0A33">
        <w:rPr>
          <w:rFonts w:eastAsia="標楷體" w:hint="eastAsia"/>
          <w:noProof/>
          <w:color w:val="000000"/>
          <w:sz w:val="20"/>
        </w:rPr>
        <w:t>06</w:t>
      </w:r>
      <w:r w:rsidRPr="001B0A33">
        <w:rPr>
          <w:rFonts w:eastAsia="標楷體" w:hAnsi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 w:hAnsi="標楷體" w:hint="eastAsia"/>
          <w:noProof/>
          <w:color w:val="000000"/>
          <w:sz w:val="20"/>
        </w:rPr>
        <w:t>五</w:t>
      </w:r>
      <w:r w:rsidRPr="001B0A33">
        <w:rPr>
          <w:rFonts w:eastAsia="標楷體" w:hAnsi="標楷體"/>
          <w:noProof/>
          <w:color w:val="000000"/>
          <w:sz w:val="20"/>
        </w:rPr>
        <w:t>學年度第</w:t>
      </w:r>
      <w:r w:rsidRPr="001B0A33">
        <w:rPr>
          <w:rFonts w:eastAsia="標楷體" w:hAnsi="標楷體" w:hint="eastAsia"/>
          <w:noProof/>
          <w:color w:val="000000"/>
          <w:sz w:val="20"/>
        </w:rPr>
        <w:t>三</w:t>
      </w:r>
      <w:r w:rsidRPr="001B0A33">
        <w:rPr>
          <w:rFonts w:eastAsia="標楷體" w:hAnsi="標楷體"/>
          <w:noProof/>
          <w:color w:val="000000"/>
          <w:sz w:val="20"/>
        </w:rPr>
        <w:t>次教務會議通過</w:t>
      </w:r>
    </w:p>
    <w:p w:rsidR="009C619D" w:rsidRPr="007B033D" w:rsidRDefault="009C619D" w:rsidP="009C619D">
      <w:pPr>
        <w:tabs>
          <w:tab w:val="left" w:pos="6521"/>
        </w:tabs>
        <w:spacing w:line="240" w:lineRule="exact"/>
        <w:ind w:right="-2"/>
        <w:jc w:val="right"/>
        <w:rPr>
          <w:rFonts w:eastAsia="標楷體" w:hAnsi="標楷體"/>
          <w:noProof/>
          <w:color w:val="000000"/>
          <w:sz w:val="20"/>
        </w:rPr>
      </w:pPr>
      <w:r>
        <w:rPr>
          <w:rFonts w:eastAsia="標楷體"/>
          <w:sz w:val="20"/>
          <w:szCs w:val="20"/>
        </w:rPr>
        <w:t>January</w:t>
      </w:r>
      <w:r w:rsidRPr="00941343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>06</w:t>
      </w:r>
      <w:r w:rsidRPr="00941343">
        <w:rPr>
          <w:rFonts w:eastAsia="標楷體"/>
          <w:sz w:val="20"/>
        </w:rPr>
        <w:t>, 20</w:t>
      </w:r>
      <w:r>
        <w:rPr>
          <w:rFonts w:eastAsia="標楷體"/>
          <w:sz w:val="20"/>
        </w:rPr>
        <w:t>17</w:t>
      </w:r>
      <w:r w:rsidRPr="00941343">
        <w:rPr>
          <w:rFonts w:eastAsia="標楷體"/>
          <w:sz w:val="20"/>
        </w:rPr>
        <w:t xml:space="preserve"> </w:t>
      </w:r>
      <w:r w:rsidRPr="009C619D">
        <w:rPr>
          <w:rFonts w:eastAsia="標楷體"/>
          <w:sz w:val="20"/>
        </w:rPr>
        <w:t>Passed by</w:t>
      </w:r>
      <w:r w:rsidRPr="00941343">
        <w:rPr>
          <w:rFonts w:eastAsia="標楷體"/>
          <w:sz w:val="20"/>
        </w:rPr>
        <w:t xml:space="preserve"> the </w:t>
      </w:r>
      <w:r>
        <w:rPr>
          <w:rFonts w:eastAsia="標楷體"/>
          <w:sz w:val="20"/>
        </w:rPr>
        <w:t>3</w:t>
      </w:r>
      <w:r>
        <w:rPr>
          <w:rFonts w:eastAsia="標楷體"/>
          <w:sz w:val="20"/>
          <w:vertAlign w:val="superscript"/>
        </w:rPr>
        <w:t>rd</w:t>
      </w:r>
      <w:r w:rsidRPr="00941343">
        <w:rPr>
          <w:rFonts w:eastAsia="標楷體"/>
          <w:sz w:val="20"/>
        </w:rPr>
        <w:t xml:space="preserve"> </w:t>
      </w:r>
      <w:r w:rsidRPr="00CC1FA7">
        <w:rPr>
          <w:rFonts w:eastAsia="標楷體"/>
          <w:sz w:val="20"/>
          <w:szCs w:val="20"/>
        </w:rPr>
        <w:t>the Academic Affairs Meeting</w:t>
      </w:r>
      <w:r w:rsidRPr="00941343">
        <w:rPr>
          <w:rFonts w:eastAsia="標楷體"/>
          <w:sz w:val="20"/>
        </w:rPr>
        <w:t xml:space="preserve"> of the Academic Year 20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6</w:t>
      </w:r>
    </w:p>
    <w:p w:rsidR="009C619D" w:rsidRDefault="009C619D" w:rsidP="009C619D">
      <w:pPr>
        <w:tabs>
          <w:tab w:val="left" w:pos="6521"/>
        </w:tabs>
        <w:spacing w:line="240" w:lineRule="exact"/>
        <w:ind w:right="-2"/>
        <w:jc w:val="right"/>
        <w:rPr>
          <w:rFonts w:eastAsia="標楷體"/>
          <w:color w:val="000000"/>
          <w:kern w:val="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9C619D" w:rsidRPr="001B0A33" w:rsidRDefault="009C619D" w:rsidP="009C619D">
      <w:pPr>
        <w:tabs>
          <w:tab w:val="left" w:pos="6521"/>
        </w:tabs>
        <w:spacing w:line="240" w:lineRule="exact"/>
        <w:ind w:right="-2"/>
        <w:jc w:val="right"/>
        <w:rPr>
          <w:rFonts w:eastAsia="標楷體"/>
          <w:color w:val="000000"/>
          <w:sz w:val="20"/>
        </w:rPr>
      </w:pPr>
      <w:r>
        <w:rPr>
          <w:rFonts w:eastAsia="標楷體"/>
          <w:sz w:val="20"/>
          <w:szCs w:val="20"/>
        </w:rPr>
        <w:t>December</w:t>
      </w:r>
      <w:r w:rsidRPr="00941343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>12</w:t>
      </w:r>
      <w:r w:rsidRPr="00941343">
        <w:rPr>
          <w:rFonts w:eastAsia="標楷體"/>
          <w:sz w:val="20"/>
        </w:rPr>
        <w:t>, 20</w:t>
      </w:r>
      <w:r>
        <w:rPr>
          <w:rFonts w:eastAsia="標楷體"/>
          <w:sz w:val="20"/>
        </w:rPr>
        <w:t>18</w:t>
      </w:r>
      <w:r w:rsidRPr="00941343">
        <w:rPr>
          <w:rFonts w:eastAsia="標楷體"/>
          <w:sz w:val="20"/>
        </w:rPr>
        <w:t xml:space="preserve"> </w:t>
      </w:r>
      <w:r w:rsidRPr="00134E42">
        <w:rPr>
          <w:rFonts w:eastAsia="標楷體"/>
          <w:sz w:val="20"/>
        </w:rPr>
        <w:t>Passed by</w:t>
      </w:r>
      <w:r w:rsidRPr="00941343">
        <w:rPr>
          <w:rFonts w:eastAsia="標楷體"/>
          <w:sz w:val="20"/>
        </w:rPr>
        <w:t xml:space="preserve"> the </w:t>
      </w:r>
      <w:r>
        <w:rPr>
          <w:rFonts w:eastAsia="標楷體"/>
          <w:sz w:val="20"/>
        </w:rPr>
        <w:t>2</w:t>
      </w:r>
      <w:r>
        <w:rPr>
          <w:rFonts w:eastAsia="標楷體"/>
          <w:sz w:val="20"/>
          <w:vertAlign w:val="superscript"/>
        </w:rPr>
        <w:t>nd</w:t>
      </w:r>
      <w:r w:rsidRPr="00941343">
        <w:rPr>
          <w:rFonts w:eastAsia="標楷體"/>
          <w:sz w:val="20"/>
        </w:rPr>
        <w:t xml:space="preserve"> </w:t>
      </w:r>
      <w:r w:rsidRPr="00CC1FA7">
        <w:rPr>
          <w:rFonts w:eastAsia="標楷體"/>
          <w:sz w:val="20"/>
          <w:szCs w:val="20"/>
        </w:rPr>
        <w:t>the Academic Affairs Meeting</w:t>
      </w:r>
      <w:r w:rsidRPr="00941343">
        <w:rPr>
          <w:rFonts w:eastAsia="標楷體"/>
          <w:sz w:val="20"/>
        </w:rPr>
        <w:t xml:space="preserve"> of the Academic Year 20</w:t>
      </w:r>
      <w:r>
        <w:rPr>
          <w:rFonts w:eastAsia="標楷體"/>
          <w:sz w:val="20"/>
        </w:rPr>
        <w:t>18</w:t>
      </w:r>
    </w:p>
    <w:p w:rsidR="009C619D" w:rsidRPr="009C619D" w:rsidRDefault="009C619D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Ansi="標楷體" w:hint="eastAsia"/>
          <w:noProof/>
          <w:color w:val="000000"/>
          <w:sz w:val="20"/>
        </w:rPr>
      </w:pPr>
    </w:p>
    <w:p w:rsidR="00D33605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為使本校學生具備從事研究工作所需之正確倫理認知與態度，特訂定本要點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6053A7" w:rsidRPr="006053A7" w:rsidRDefault="006053A7" w:rsidP="006053A7">
      <w:pPr>
        <w:ind w:leftChars="60" w:left="1116" w:hangingChars="405" w:hanging="972"/>
        <w:jc w:val="both"/>
        <w:rPr>
          <w:rFonts w:eastAsia="標楷體"/>
          <w:color w:val="000000"/>
          <w:szCs w:val="26"/>
        </w:rPr>
      </w:pPr>
      <w:r w:rsidRPr="006053A7">
        <w:rPr>
          <w:rFonts w:eastAsia="標楷體" w:hint="eastAsia"/>
          <w:color w:val="000000"/>
          <w:szCs w:val="26"/>
        </w:rPr>
        <w:t>Ar</w:t>
      </w:r>
      <w:r w:rsidRPr="006053A7">
        <w:rPr>
          <w:rFonts w:eastAsia="標楷體"/>
          <w:color w:val="000000"/>
          <w:szCs w:val="26"/>
        </w:rPr>
        <w:t>ticle 1 Kaohsi</w:t>
      </w:r>
      <w:r>
        <w:rPr>
          <w:rFonts w:eastAsia="標楷體"/>
          <w:color w:val="000000"/>
          <w:szCs w:val="26"/>
        </w:rPr>
        <w:t>ung Medical University (KMU or “the University”</w:t>
      </w:r>
      <w:r w:rsidRPr="006053A7">
        <w:rPr>
          <w:rFonts w:eastAsia="標楷體"/>
          <w:color w:val="000000"/>
          <w:szCs w:val="26"/>
        </w:rPr>
        <w:t xml:space="preserve">) formulates the KMU Directives Governing </w:t>
      </w:r>
      <w:r w:rsidR="009C023E" w:rsidRPr="009C023E">
        <w:rPr>
          <w:rFonts w:eastAsia="標楷體"/>
          <w:color w:val="000000"/>
          <w:szCs w:val="26"/>
        </w:rPr>
        <w:t>the Implementation</w:t>
      </w:r>
      <w:r w:rsidR="009C023E">
        <w:rPr>
          <w:rFonts w:eastAsia="標楷體"/>
          <w:color w:val="000000"/>
          <w:szCs w:val="26"/>
        </w:rPr>
        <w:t xml:space="preserve"> </w:t>
      </w:r>
      <w:r w:rsidR="00C205AD">
        <w:rPr>
          <w:rFonts w:eastAsia="標楷體"/>
          <w:color w:val="000000"/>
          <w:szCs w:val="26"/>
        </w:rPr>
        <w:t xml:space="preserve">of </w:t>
      </w:r>
      <w:r w:rsidRPr="006053A7">
        <w:rPr>
          <w:rFonts w:eastAsia="標楷體"/>
          <w:color w:val="000000"/>
          <w:szCs w:val="26"/>
        </w:rPr>
        <w:t>Academic Research Ethics Educat</w:t>
      </w:r>
      <w:r>
        <w:rPr>
          <w:rFonts w:eastAsia="標楷體"/>
          <w:color w:val="000000"/>
          <w:szCs w:val="26"/>
        </w:rPr>
        <w:t>ion for Postgraduate Students (“the Directives”</w:t>
      </w:r>
      <w:r w:rsidRPr="006053A7">
        <w:rPr>
          <w:rFonts w:eastAsia="標楷體"/>
          <w:color w:val="000000"/>
          <w:szCs w:val="26"/>
        </w:rPr>
        <w:t>) to equip students with the appropriate ethics and attitudes required for research work.</w:t>
      </w:r>
    </w:p>
    <w:p w:rsidR="00D33605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r w:rsidRPr="001B0A33">
        <w:rPr>
          <w:rFonts w:eastAsia="標楷體" w:hint="eastAsia"/>
          <w:color w:val="000000"/>
          <w:sz w:val="24"/>
          <w:szCs w:val="26"/>
        </w:rPr>
        <w:t>本要點實施對象為本校</w:t>
      </w:r>
      <w:r w:rsidRPr="001B0A33">
        <w:rPr>
          <w:rFonts w:ascii="Times New Roman" w:eastAsia="標楷體" w:hAnsi="Times New Roman"/>
          <w:color w:val="000000"/>
          <w:sz w:val="24"/>
          <w:szCs w:val="26"/>
          <w:lang w:eastAsia="zh-TW"/>
        </w:rPr>
        <w:t>106</w:t>
      </w:r>
      <w:r w:rsidRPr="001B0A33">
        <w:rPr>
          <w:rFonts w:eastAsia="標楷體" w:hint="eastAsia"/>
          <w:color w:val="000000"/>
          <w:sz w:val="24"/>
          <w:szCs w:val="26"/>
        </w:rPr>
        <w:t>學年度起入學之碩士班（含碩士在職專班）與博士班研究生。</w:t>
      </w:r>
    </w:p>
    <w:p w:rsidR="006053A7" w:rsidRPr="006053A7" w:rsidRDefault="006053A7" w:rsidP="009C023E">
      <w:pPr>
        <w:ind w:leftChars="58" w:left="1032" w:hangingChars="372" w:hanging="893"/>
        <w:jc w:val="both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A</w:t>
      </w:r>
      <w:r>
        <w:rPr>
          <w:rFonts w:eastAsia="標楷體"/>
          <w:color w:val="000000"/>
          <w:szCs w:val="26"/>
        </w:rPr>
        <w:t xml:space="preserve">rticle 2 </w:t>
      </w:r>
      <w:r w:rsidR="009C023E" w:rsidRPr="009C023E">
        <w:rPr>
          <w:rFonts w:eastAsia="標楷體"/>
          <w:color w:val="000000"/>
          <w:szCs w:val="26"/>
        </w:rPr>
        <w:t xml:space="preserve">The Directives apply to </w:t>
      </w:r>
      <w:r w:rsidR="009C023E">
        <w:rPr>
          <w:rFonts w:eastAsia="標楷體"/>
          <w:color w:val="000000"/>
          <w:szCs w:val="26"/>
        </w:rPr>
        <w:t>postgraduate students in master’</w:t>
      </w:r>
      <w:r w:rsidR="009C023E" w:rsidRPr="009C023E">
        <w:rPr>
          <w:rFonts w:eastAsia="標楷體"/>
          <w:color w:val="000000"/>
          <w:szCs w:val="26"/>
        </w:rPr>
        <w:t>s degree progra</w:t>
      </w:r>
      <w:r w:rsidR="009C023E">
        <w:rPr>
          <w:rFonts w:eastAsia="標楷體"/>
          <w:color w:val="000000"/>
          <w:szCs w:val="26"/>
        </w:rPr>
        <w:t>ms (including in-service master’</w:t>
      </w:r>
      <w:r w:rsidR="009C023E" w:rsidRPr="009C023E">
        <w:rPr>
          <w:rFonts w:eastAsia="標楷體"/>
          <w:color w:val="000000"/>
          <w:szCs w:val="26"/>
        </w:rPr>
        <w:t xml:space="preserve">s </w:t>
      </w:r>
      <w:r w:rsidR="00C205AD">
        <w:rPr>
          <w:rFonts w:eastAsia="標楷體"/>
          <w:color w:val="000000"/>
          <w:szCs w:val="26"/>
        </w:rPr>
        <w:t xml:space="preserve">degree </w:t>
      </w:r>
      <w:r w:rsidR="009C023E" w:rsidRPr="009C023E">
        <w:rPr>
          <w:rFonts w:eastAsia="標楷體"/>
          <w:color w:val="000000"/>
          <w:szCs w:val="26"/>
        </w:rPr>
        <w:t>programs) and doctoral programs who were enrolled in or after the academic year 2017.</w:t>
      </w:r>
    </w:p>
    <w:p w:rsidR="00D33605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實施方式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：</w:t>
      </w:r>
    </w:p>
    <w:p w:rsidR="009C023E" w:rsidRPr="009C023E" w:rsidRDefault="009C023E" w:rsidP="009C023E">
      <w:pPr>
        <w:ind w:left="142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A</w:t>
      </w:r>
      <w:r>
        <w:rPr>
          <w:rFonts w:eastAsia="標楷體"/>
          <w:color w:val="000000"/>
          <w:szCs w:val="26"/>
        </w:rPr>
        <w:t xml:space="preserve">rticle 3 </w:t>
      </w:r>
      <w:r w:rsidRPr="009C023E">
        <w:rPr>
          <w:rFonts w:eastAsia="標楷體"/>
          <w:color w:val="000000"/>
          <w:szCs w:val="26"/>
        </w:rPr>
        <w:t>Implementation methods:</w:t>
      </w:r>
    </w:p>
    <w:p w:rsidR="00D33605" w:rsidRDefault="00D33605" w:rsidP="00D33605">
      <w:pPr>
        <w:pStyle w:val="a3"/>
        <w:widowControl w:val="0"/>
        <w:numPr>
          <w:ilvl w:val="0"/>
          <w:numId w:val="6"/>
        </w:numPr>
        <w:tabs>
          <w:tab w:val="left" w:pos="601"/>
        </w:tabs>
        <w:ind w:leftChars="355" w:left="1337" w:hangingChars="202" w:hanging="485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教務處每學期將新生資料傳至「臺灣學術倫理教育資源中心」線上平台，協助帳號建置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9C023E" w:rsidRPr="00407ECC" w:rsidRDefault="009C023E" w:rsidP="00407ECC">
      <w:pPr>
        <w:pStyle w:val="a3"/>
        <w:numPr>
          <w:ilvl w:val="0"/>
          <w:numId w:val="7"/>
        </w:numPr>
        <w:tabs>
          <w:tab w:val="left" w:pos="601"/>
        </w:tabs>
        <w:ind w:leftChars="0"/>
        <w:jc w:val="both"/>
        <w:rPr>
          <w:rFonts w:ascii="Times New Roman" w:eastAsia="標楷體" w:hAnsi="Times New Roman"/>
          <w:color w:val="000000"/>
          <w:sz w:val="24"/>
        </w:rPr>
      </w:pPr>
      <w:r w:rsidRPr="00407ECC">
        <w:rPr>
          <w:rFonts w:ascii="Times New Roman" w:eastAsia="標楷體" w:hAnsi="Times New Roman"/>
          <w:color w:val="000000"/>
          <w:sz w:val="24"/>
        </w:rPr>
        <w:t xml:space="preserve">The Office of Academic Affairs uploads new student information to the online platform of the Center for Taiwan Academic Research Ethics Education and assists </w:t>
      </w:r>
      <w:r w:rsidR="00C205AD">
        <w:rPr>
          <w:rFonts w:ascii="Times New Roman" w:eastAsia="標楷體" w:hAnsi="Times New Roman"/>
          <w:color w:val="000000"/>
          <w:sz w:val="24"/>
        </w:rPr>
        <w:t>new students</w:t>
      </w:r>
      <w:r w:rsidRPr="00407ECC">
        <w:rPr>
          <w:rFonts w:ascii="Times New Roman" w:eastAsia="標楷體" w:hAnsi="Times New Roman"/>
          <w:color w:val="000000"/>
          <w:sz w:val="24"/>
        </w:rPr>
        <w:t xml:space="preserve"> in setting up their accounts.</w:t>
      </w:r>
    </w:p>
    <w:p w:rsidR="00D33605" w:rsidRDefault="00D33605" w:rsidP="00D33605">
      <w:pPr>
        <w:pStyle w:val="a3"/>
        <w:widowControl w:val="0"/>
        <w:numPr>
          <w:ilvl w:val="0"/>
          <w:numId w:val="6"/>
        </w:numPr>
        <w:tabs>
          <w:tab w:val="left" w:pos="601"/>
        </w:tabs>
        <w:ind w:leftChars="355" w:left="1337" w:hangingChars="202" w:hanging="485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學生應於</w:t>
      </w:r>
      <w:r w:rsidRPr="001B0A33">
        <w:rPr>
          <w:rFonts w:eastAsia="標楷體" w:hint="eastAsia"/>
          <w:b/>
          <w:color w:val="000000"/>
          <w:sz w:val="24"/>
          <w:szCs w:val="26"/>
          <w:u w:val="single"/>
          <w:lang w:eastAsia="zh-TW"/>
        </w:rPr>
        <w:t>在</w:t>
      </w:r>
      <w:r w:rsidRPr="001B0A33">
        <w:rPr>
          <w:rFonts w:eastAsia="標楷體" w:hint="eastAsia"/>
          <w:b/>
          <w:color w:val="000000"/>
          <w:sz w:val="24"/>
          <w:szCs w:val="26"/>
          <w:u w:val="single"/>
        </w:rPr>
        <w:t>學</w:t>
      </w:r>
      <w:r w:rsidRPr="001B0A33">
        <w:rPr>
          <w:rFonts w:eastAsia="標楷體" w:hint="eastAsia"/>
          <w:color w:val="000000"/>
          <w:sz w:val="24"/>
          <w:szCs w:val="26"/>
        </w:rPr>
        <w:t>第一學期至「臺灣學術倫理教育資源中心」網站自我學習，並通過總測驗取得修課證明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407ECC" w:rsidRPr="00407ECC" w:rsidRDefault="00407ECC" w:rsidP="00407ECC">
      <w:pPr>
        <w:pStyle w:val="a3"/>
        <w:numPr>
          <w:ilvl w:val="0"/>
          <w:numId w:val="7"/>
        </w:numPr>
        <w:tabs>
          <w:tab w:val="left" w:pos="601"/>
        </w:tabs>
        <w:ind w:leftChars="0"/>
        <w:jc w:val="both"/>
        <w:rPr>
          <w:rFonts w:ascii="Times New Roman" w:eastAsia="標楷體" w:hAnsi="Times New Roman"/>
          <w:color w:val="000000"/>
          <w:sz w:val="24"/>
        </w:rPr>
      </w:pPr>
      <w:r w:rsidRPr="00407ECC">
        <w:rPr>
          <w:rFonts w:ascii="Times New Roman" w:eastAsia="標楷體" w:hAnsi="Times New Roman"/>
          <w:color w:val="000000"/>
          <w:sz w:val="24"/>
        </w:rPr>
        <w:t xml:space="preserve">Students shall log in to the website of the Center for Taiwan Academic Research Ethics Education during the first semester of </w:t>
      </w:r>
      <w:r w:rsidRPr="00407ECC">
        <w:rPr>
          <w:rFonts w:ascii="Times New Roman" w:eastAsia="標楷體" w:hAnsi="Times New Roman"/>
          <w:b/>
          <w:color w:val="000000"/>
          <w:sz w:val="24"/>
          <w:u w:val="single"/>
        </w:rPr>
        <w:t>their studies</w:t>
      </w:r>
      <w:r w:rsidRPr="00407ECC">
        <w:rPr>
          <w:rFonts w:ascii="Times New Roman" w:eastAsia="標楷體" w:hAnsi="Times New Roman"/>
          <w:color w:val="000000"/>
          <w:sz w:val="24"/>
        </w:rPr>
        <w:t xml:space="preserve"> to complete relevant training and pass the general test in order to receive a course completion certificate.</w:t>
      </w:r>
    </w:p>
    <w:p w:rsidR="00D33605" w:rsidRDefault="00D33605" w:rsidP="00D33605">
      <w:pPr>
        <w:pStyle w:val="a3"/>
        <w:widowControl w:val="0"/>
        <w:numPr>
          <w:ilvl w:val="0"/>
          <w:numId w:val="6"/>
        </w:numPr>
        <w:ind w:leftChars="355" w:left="1337" w:hangingChars="202" w:hanging="485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學生完成「學術倫理教育」全部核心單元並通過總測驗，即可於網站申請下載修課證明。該課程與成績不登錄於歷年成績表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407ECC" w:rsidRPr="00407ECC" w:rsidRDefault="00B43927" w:rsidP="00B43927">
      <w:pPr>
        <w:pStyle w:val="a3"/>
        <w:numPr>
          <w:ilvl w:val="0"/>
          <w:numId w:val="7"/>
        </w:numPr>
        <w:tabs>
          <w:tab w:val="left" w:pos="601"/>
        </w:tabs>
        <w:ind w:leftChars="0"/>
        <w:jc w:val="both"/>
        <w:rPr>
          <w:rFonts w:eastAsia="標楷體"/>
          <w:color w:val="000000"/>
          <w:szCs w:val="26"/>
        </w:rPr>
      </w:pPr>
      <w:r w:rsidRPr="00B43927">
        <w:rPr>
          <w:rFonts w:ascii="Times New Roman" w:eastAsia="標楷體" w:hAnsi="Times New Roman"/>
          <w:color w:val="000000"/>
          <w:sz w:val="24"/>
        </w:rPr>
        <w:t xml:space="preserve">Students will be able to download their course completion certificate after completing all core courses in </w:t>
      </w:r>
      <w:r w:rsidR="002D023E">
        <w:rPr>
          <w:rFonts w:ascii="Times New Roman" w:eastAsia="標楷體" w:hAnsi="Times New Roman"/>
          <w:color w:val="000000"/>
          <w:sz w:val="24"/>
        </w:rPr>
        <w:t>Academic Research Ethics E</w:t>
      </w:r>
      <w:r w:rsidRPr="00B43927">
        <w:rPr>
          <w:rFonts w:ascii="Times New Roman" w:eastAsia="標楷體" w:hAnsi="Times New Roman"/>
          <w:color w:val="000000"/>
          <w:sz w:val="24"/>
        </w:rPr>
        <w:t>ducation and passing the general test. These courses and grades will not be recorded on their academic transcripts.</w:t>
      </w:r>
    </w:p>
    <w:p w:rsidR="00D33605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各系所、學位學程除「學術倫理教育」全部核心單元之外，亦得自訂更多專業修習單元，並送教務處備查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B43927" w:rsidRPr="002D023E" w:rsidRDefault="002D023E" w:rsidP="002D023E">
      <w:pPr>
        <w:ind w:leftChars="58" w:left="1133" w:hangingChars="414" w:hanging="994"/>
        <w:jc w:val="both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A</w:t>
      </w:r>
      <w:r>
        <w:rPr>
          <w:rFonts w:eastAsia="標楷體"/>
          <w:color w:val="000000"/>
          <w:szCs w:val="26"/>
        </w:rPr>
        <w:t xml:space="preserve">rticle 4 </w:t>
      </w:r>
      <w:r w:rsidRPr="002D023E">
        <w:rPr>
          <w:rFonts w:eastAsia="標楷體"/>
          <w:color w:val="000000"/>
          <w:szCs w:val="26"/>
        </w:rPr>
        <w:t>In addition to the core courses in Academic Research Ethics Education, department</w:t>
      </w:r>
      <w:r w:rsidR="00C205AD">
        <w:rPr>
          <w:rFonts w:eastAsia="標楷體"/>
          <w:color w:val="000000"/>
          <w:szCs w:val="26"/>
        </w:rPr>
        <w:t>s</w:t>
      </w:r>
      <w:r w:rsidRPr="002D023E">
        <w:rPr>
          <w:rFonts w:eastAsia="標楷體"/>
          <w:color w:val="000000"/>
          <w:szCs w:val="26"/>
        </w:rPr>
        <w:t>, graduate institute</w:t>
      </w:r>
      <w:r w:rsidR="00C205AD">
        <w:rPr>
          <w:rFonts w:eastAsia="標楷體"/>
          <w:color w:val="000000"/>
          <w:szCs w:val="26"/>
        </w:rPr>
        <w:t>s</w:t>
      </w:r>
      <w:r w:rsidRPr="002D023E">
        <w:rPr>
          <w:rFonts w:eastAsia="標楷體"/>
          <w:color w:val="000000"/>
          <w:szCs w:val="26"/>
        </w:rPr>
        <w:t>, and degree program</w:t>
      </w:r>
      <w:r w:rsidR="00C205AD">
        <w:rPr>
          <w:rFonts w:eastAsia="標楷體"/>
          <w:color w:val="000000"/>
          <w:szCs w:val="26"/>
        </w:rPr>
        <w:t>s</w:t>
      </w:r>
      <w:r w:rsidRPr="002D023E">
        <w:rPr>
          <w:rFonts w:eastAsia="標楷體"/>
          <w:color w:val="000000"/>
          <w:szCs w:val="26"/>
        </w:rPr>
        <w:t xml:space="preserve"> may design additional professional study units and submit them to the Office of Academic Affairs for future reference.</w:t>
      </w:r>
    </w:p>
    <w:p w:rsidR="00D33605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學生須出示「臺灣學術倫理教育資源中心」網站之「學術倫理教育」修課證明，方得申</w:t>
      </w:r>
      <w:r w:rsidRPr="001B0A33">
        <w:rPr>
          <w:rFonts w:eastAsia="標楷體" w:hint="eastAsia"/>
          <w:color w:val="000000"/>
          <w:sz w:val="24"/>
          <w:szCs w:val="26"/>
        </w:rPr>
        <w:lastRenderedPageBreak/>
        <w:t>請學位口試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2D023E" w:rsidRPr="002D023E" w:rsidRDefault="002D023E" w:rsidP="002E2775">
      <w:pPr>
        <w:ind w:leftChars="57" w:left="1018" w:hangingChars="367" w:hanging="881"/>
        <w:jc w:val="both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A</w:t>
      </w:r>
      <w:r>
        <w:rPr>
          <w:rFonts w:eastAsia="標楷體"/>
          <w:color w:val="000000"/>
          <w:szCs w:val="26"/>
        </w:rPr>
        <w:t xml:space="preserve">rticle 5 </w:t>
      </w:r>
      <w:r w:rsidR="002E2775" w:rsidRPr="002E2775">
        <w:rPr>
          <w:rFonts w:eastAsia="標楷體"/>
          <w:color w:val="000000"/>
          <w:szCs w:val="26"/>
        </w:rPr>
        <w:t>Students shall present their course completion certificate in Academic Research Ethics Education, obtained from the Center for Taiwan Academic Research Ethics Education, in order to apply for an oral defense.</w:t>
      </w:r>
    </w:p>
    <w:p w:rsidR="005E00B2" w:rsidRPr="00723B88" w:rsidRDefault="00D33605" w:rsidP="00BB70BD">
      <w:pPr>
        <w:pStyle w:val="a3"/>
        <w:widowControl w:val="0"/>
        <w:numPr>
          <w:ilvl w:val="0"/>
          <w:numId w:val="5"/>
        </w:numPr>
        <w:spacing w:line="440" w:lineRule="exact"/>
        <w:ind w:leftChars="0" w:left="851" w:hanging="709"/>
      </w:pPr>
      <w:proofErr w:type="spellStart"/>
      <w:r w:rsidRPr="00BB70BD">
        <w:rPr>
          <w:rFonts w:eastAsia="標楷體" w:hint="eastAsia"/>
          <w:color w:val="000000"/>
          <w:sz w:val="24"/>
          <w:szCs w:val="26"/>
        </w:rPr>
        <w:t>本要點經教務會議通過後實施</w:t>
      </w:r>
      <w:proofErr w:type="spellEnd"/>
    </w:p>
    <w:p w:rsidR="00723B88" w:rsidRPr="00723B88" w:rsidRDefault="00723B88" w:rsidP="00723B88">
      <w:pPr>
        <w:ind w:leftChars="57" w:left="1018" w:hangingChars="367" w:hanging="881"/>
        <w:jc w:val="both"/>
        <w:rPr>
          <w:rFonts w:eastAsia="標楷體"/>
          <w:color w:val="000000"/>
          <w:szCs w:val="26"/>
        </w:rPr>
      </w:pPr>
      <w:r w:rsidRPr="00723B88">
        <w:rPr>
          <w:rFonts w:eastAsia="標楷體" w:hint="eastAsia"/>
          <w:color w:val="000000"/>
          <w:szCs w:val="26"/>
        </w:rPr>
        <w:t>A</w:t>
      </w:r>
      <w:r w:rsidRPr="00723B88">
        <w:rPr>
          <w:rFonts w:eastAsia="標楷體"/>
          <w:color w:val="000000"/>
          <w:szCs w:val="26"/>
        </w:rPr>
        <w:t xml:space="preserve">rticle </w:t>
      </w:r>
      <w:r>
        <w:rPr>
          <w:rFonts w:eastAsia="標楷體" w:hint="eastAsia"/>
          <w:color w:val="000000"/>
          <w:szCs w:val="26"/>
        </w:rPr>
        <w:t>6</w:t>
      </w:r>
      <w:r w:rsidRPr="00723B88">
        <w:rPr>
          <w:rFonts w:eastAsia="標楷體"/>
          <w:color w:val="000000"/>
          <w:szCs w:val="26"/>
        </w:rPr>
        <w:t xml:space="preserve"> The Directives shall be passed by the Academic Affairs Meeting and then implemented</w:t>
      </w:r>
      <w:r>
        <w:rPr>
          <w:rFonts w:eastAsia="標楷體"/>
          <w:color w:val="000000"/>
          <w:szCs w:val="26"/>
        </w:rPr>
        <w:t>.</w:t>
      </w:r>
      <w:bookmarkStart w:id="0" w:name="_GoBack"/>
      <w:bookmarkEnd w:id="0"/>
    </w:p>
    <w:p w:rsidR="00723B88" w:rsidRPr="00723B88" w:rsidRDefault="00723B88" w:rsidP="00723B88">
      <w:pPr>
        <w:spacing w:line="440" w:lineRule="exact"/>
        <w:rPr>
          <w:rFonts w:hint="eastAsia"/>
          <w:lang w:val="x-none"/>
        </w:rPr>
      </w:pPr>
    </w:p>
    <w:sectPr w:rsidR="00723B88" w:rsidRPr="00723B88" w:rsidSect="00D336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60FE"/>
    <w:multiLevelType w:val="hybridMultilevel"/>
    <w:tmpl w:val="80ACB01C"/>
    <w:lvl w:ilvl="0" w:tplc="A5E845B2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32C157D"/>
    <w:multiLevelType w:val="hybridMultilevel"/>
    <w:tmpl w:val="6420C01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6080D04"/>
    <w:multiLevelType w:val="hybridMultilevel"/>
    <w:tmpl w:val="EBC47A90"/>
    <w:lvl w:ilvl="0" w:tplc="7DB4FDC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44E2626B"/>
    <w:multiLevelType w:val="hybridMultilevel"/>
    <w:tmpl w:val="EF565CEE"/>
    <w:lvl w:ilvl="0" w:tplc="ED60344A">
      <w:start w:val="3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572CD1"/>
    <w:multiLevelType w:val="hybridMultilevel"/>
    <w:tmpl w:val="EF38BDEE"/>
    <w:lvl w:ilvl="0" w:tplc="C3CCE038">
      <w:start w:val="1"/>
      <w:numFmt w:val="taiwaneseCountingThousand"/>
      <w:lvlText w:val="(%1)"/>
      <w:lvlJc w:val="left"/>
      <w:pPr>
        <w:ind w:left="10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5" w15:restartNumberingAfterBreak="0">
    <w:nsid w:val="7D197108"/>
    <w:multiLevelType w:val="hybridMultilevel"/>
    <w:tmpl w:val="EF38BDEE"/>
    <w:lvl w:ilvl="0" w:tplc="C3CCE038">
      <w:start w:val="1"/>
      <w:numFmt w:val="taiwaneseCountingThousand"/>
      <w:lvlText w:val="(%1)"/>
      <w:lvlJc w:val="left"/>
      <w:pPr>
        <w:ind w:left="10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6" w15:restartNumberingAfterBreak="0">
    <w:nsid w:val="7E81776A"/>
    <w:multiLevelType w:val="hybridMultilevel"/>
    <w:tmpl w:val="600068F8"/>
    <w:lvl w:ilvl="0" w:tplc="C3CCE038">
      <w:start w:val="1"/>
      <w:numFmt w:val="taiwaneseCountingThousand"/>
      <w:lvlText w:val="(%1)"/>
      <w:lvlJc w:val="left"/>
      <w:pPr>
        <w:ind w:left="28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16" w:hanging="480"/>
      </w:pPr>
    </w:lvl>
    <w:lvl w:ilvl="2" w:tplc="0409001B" w:tentative="1">
      <w:start w:val="1"/>
      <w:numFmt w:val="lowerRoman"/>
      <w:lvlText w:val="%3."/>
      <w:lvlJc w:val="right"/>
      <w:pPr>
        <w:ind w:left="3796" w:hanging="480"/>
      </w:pPr>
    </w:lvl>
    <w:lvl w:ilvl="3" w:tplc="0409000F" w:tentative="1">
      <w:start w:val="1"/>
      <w:numFmt w:val="decimal"/>
      <w:lvlText w:val="%4."/>
      <w:lvlJc w:val="left"/>
      <w:pPr>
        <w:ind w:left="4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56" w:hanging="480"/>
      </w:pPr>
    </w:lvl>
    <w:lvl w:ilvl="5" w:tplc="0409001B" w:tentative="1">
      <w:start w:val="1"/>
      <w:numFmt w:val="lowerRoman"/>
      <w:lvlText w:val="%6."/>
      <w:lvlJc w:val="right"/>
      <w:pPr>
        <w:ind w:left="5236" w:hanging="480"/>
      </w:pPr>
    </w:lvl>
    <w:lvl w:ilvl="6" w:tplc="0409000F" w:tentative="1">
      <w:start w:val="1"/>
      <w:numFmt w:val="decimal"/>
      <w:lvlText w:val="%7."/>
      <w:lvlJc w:val="left"/>
      <w:pPr>
        <w:ind w:left="5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96" w:hanging="480"/>
      </w:pPr>
    </w:lvl>
    <w:lvl w:ilvl="8" w:tplc="0409001B" w:tentative="1">
      <w:start w:val="1"/>
      <w:numFmt w:val="lowerRoman"/>
      <w:lvlText w:val="%9."/>
      <w:lvlJc w:val="right"/>
      <w:pPr>
        <w:ind w:left="6676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05"/>
    <w:rsid w:val="00134E42"/>
    <w:rsid w:val="002D023E"/>
    <w:rsid w:val="002E2775"/>
    <w:rsid w:val="00407ECC"/>
    <w:rsid w:val="005E00B2"/>
    <w:rsid w:val="006053A7"/>
    <w:rsid w:val="00723B88"/>
    <w:rsid w:val="008A4556"/>
    <w:rsid w:val="009C023E"/>
    <w:rsid w:val="009C619D"/>
    <w:rsid w:val="00B07DAA"/>
    <w:rsid w:val="00B43927"/>
    <w:rsid w:val="00BB70BD"/>
    <w:rsid w:val="00C205AD"/>
    <w:rsid w:val="00D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DD29"/>
  <w15:docId w15:val="{7368371B-8EC3-4077-BF8F-A5EEDD3D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6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605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D33605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Admin</cp:lastModifiedBy>
  <cp:revision>8</cp:revision>
  <dcterms:created xsi:type="dcterms:W3CDTF">2024-09-02T02:50:00Z</dcterms:created>
  <dcterms:modified xsi:type="dcterms:W3CDTF">2024-10-14T08:49:00Z</dcterms:modified>
</cp:coreProperties>
</file>