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E1DE9" w14:textId="4ABA16D4" w:rsidR="008E51D0" w:rsidRPr="00D56CAB" w:rsidRDefault="00747A46" w:rsidP="001703B8">
      <w:pPr>
        <w:spacing w:after="0" w:line="440" w:lineRule="exact"/>
        <w:jc w:val="both"/>
        <w:rPr>
          <w:rFonts w:ascii="Times New Roman" w:eastAsia="標楷體" w:hAnsi="Times New Roman" w:cs="Times New Roman"/>
          <w:b/>
          <w:sz w:val="32"/>
          <w:szCs w:val="32"/>
          <w:lang w:eastAsia="zh-TW"/>
        </w:rPr>
      </w:pPr>
      <w:r w:rsidRPr="00747A46">
        <w:rPr>
          <w:rFonts w:ascii="Times New Roman" w:eastAsia="標楷體" w:hAnsi="Times New Roman" w:cs="Times New Roman" w:hint="eastAsia"/>
          <w:b/>
          <w:spacing w:val="2"/>
          <w:position w:val="-2"/>
          <w:sz w:val="32"/>
          <w:szCs w:val="32"/>
          <w:lang w:eastAsia="zh-TW"/>
        </w:rPr>
        <w:t>高雄醫學大學受委託興建經營國立清華大學附設桃園醫院籌設委員會</w:t>
      </w:r>
      <w:r w:rsidR="005C3DFA" w:rsidRPr="00D56CAB">
        <w:rPr>
          <w:rFonts w:ascii="Times New Roman" w:eastAsia="標楷體" w:hAnsi="Times New Roman" w:cs="Times New Roman"/>
          <w:b/>
          <w:position w:val="-2"/>
          <w:sz w:val="32"/>
          <w:szCs w:val="32"/>
          <w:lang w:eastAsia="zh-TW"/>
        </w:rPr>
        <w:t>設</w:t>
      </w:r>
      <w:r w:rsidR="005C3DFA" w:rsidRPr="00D56CAB">
        <w:rPr>
          <w:rFonts w:ascii="Times New Roman" w:eastAsia="標楷體" w:hAnsi="Times New Roman" w:cs="Times New Roman"/>
          <w:b/>
          <w:spacing w:val="2"/>
          <w:position w:val="-2"/>
          <w:sz w:val="32"/>
          <w:szCs w:val="32"/>
          <w:lang w:eastAsia="zh-TW"/>
        </w:rPr>
        <w:t>置</w:t>
      </w:r>
      <w:r w:rsidR="005C3DFA" w:rsidRPr="00D56CAB">
        <w:rPr>
          <w:rFonts w:ascii="Times New Roman" w:eastAsia="標楷體" w:hAnsi="Times New Roman" w:cs="Times New Roman"/>
          <w:b/>
          <w:position w:val="-2"/>
          <w:sz w:val="32"/>
          <w:szCs w:val="32"/>
          <w:lang w:eastAsia="zh-TW"/>
        </w:rPr>
        <w:t>辦</w:t>
      </w:r>
      <w:r w:rsidR="005C3DFA" w:rsidRPr="00D56CAB">
        <w:rPr>
          <w:rFonts w:ascii="Times New Roman" w:eastAsia="標楷體" w:hAnsi="Times New Roman" w:cs="Times New Roman"/>
          <w:b/>
          <w:spacing w:val="3"/>
          <w:position w:val="-2"/>
          <w:sz w:val="32"/>
          <w:szCs w:val="32"/>
          <w:lang w:eastAsia="zh-TW"/>
        </w:rPr>
        <w:t>法</w:t>
      </w:r>
      <w:bookmarkStart w:id="0" w:name="_GoBack"/>
      <w:bookmarkEnd w:id="0"/>
    </w:p>
    <w:p w14:paraId="126E29D2" w14:textId="44811266" w:rsidR="0031565E" w:rsidRPr="00D25922" w:rsidRDefault="000270FE" w:rsidP="000270FE">
      <w:pPr>
        <w:tabs>
          <w:tab w:val="left" w:pos="6237"/>
        </w:tabs>
        <w:spacing w:after="0" w:line="240" w:lineRule="exact"/>
        <w:ind w:leftChars="2384" w:left="5245" w:rightChars="-118" w:right="-260" w:firstLineChars="283" w:firstLine="566"/>
        <w:rPr>
          <w:rFonts w:ascii="Times New Roman" w:eastAsia="標楷體" w:hAnsi="Times New Roman" w:cs="Times New Roman"/>
          <w:sz w:val="20"/>
          <w:lang w:eastAsia="zh-TW"/>
        </w:rPr>
      </w:pPr>
      <w:bookmarkStart w:id="1" w:name="OLE_LINK29"/>
      <w:r w:rsidRPr="00D25922">
        <w:rPr>
          <w:rFonts w:ascii="Times New Roman" w:eastAsia="標楷體" w:hAnsi="Times New Roman" w:cs="Times New Roman"/>
          <w:sz w:val="20"/>
          <w:lang w:eastAsia="zh-TW"/>
        </w:rPr>
        <w:t>112.09.28</w:t>
      </w:r>
      <w:r w:rsidRPr="00D25922">
        <w:rPr>
          <w:rFonts w:ascii="Times New Roman" w:eastAsia="標楷體" w:hAnsi="Times New Roman" w:cs="Times New Roman"/>
          <w:sz w:val="20"/>
          <w:szCs w:val="20"/>
          <w:lang w:eastAsia="zh-TW"/>
        </w:rPr>
        <w:t xml:space="preserve">  </w:t>
      </w:r>
      <w:r w:rsidRPr="00D25922">
        <w:rPr>
          <w:rFonts w:ascii="Times New Roman" w:eastAsia="標楷體" w:hAnsi="Times New Roman" w:cs="Times New Roman"/>
          <w:sz w:val="20"/>
          <w:lang w:eastAsia="zh-TW"/>
        </w:rPr>
        <w:t>112</w:t>
      </w:r>
      <w:r w:rsidRPr="00D25922">
        <w:rPr>
          <w:rFonts w:ascii="Times New Roman" w:eastAsia="標楷體" w:hAnsi="Times New Roman" w:cs="Times New Roman"/>
          <w:sz w:val="20"/>
          <w:lang w:eastAsia="zh-TW"/>
        </w:rPr>
        <w:t>學年度第</w:t>
      </w:r>
      <w:r w:rsidR="0060177B" w:rsidRPr="00D25922">
        <w:rPr>
          <w:rFonts w:ascii="Times New Roman" w:eastAsia="標楷體" w:hAnsi="Times New Roman" w:cs="Times New Roman"/>
          <w:sz w:val="20"/>
          <w:lang w:eastAsia="zh-TW"/>
        </w:rPr>
        <w:t>2</w:t>
      </w:r>
      <w:r w:rsidRPr="00D25922">
        <w:rPr>
          <w:rFonts w:ascii="Times New Roman" w:eastAsia="標楷體" w:hAnsi="Times New Roman" w:cs="Times New Roman"/>
          <w:sz w:val="20"/>
          <w:lang w:eastAsia="zh-TW"/>
        </w:rPr>
        <w:t>次行政會議通過</w:t>
      </w:r>
    </w:p>
    <w:p w14:paraId="26ABBAFB" w14:textId="051AF571" w:rsidR="00D25922" w:rsidRPr="00D25922" w:rsidRDefault="00D25922" w:rsidP="000270FE">
      <w:pPr>
        <w:tabs>
          <w:tab w:val="left" w:pos="6237"/>
        </w:tabs>
        <w:spacing w:after="0" w:line="240" w:lineRule="exact"/>
        <w:ind w:leftChars="2384" w:left="5245" w:rightChars="-118" w:right="-260" w:firstLineChars="283" w:firstLine="566"/>
        <w:rPr>
          <w:rFonts w:ascii="Times New Roman" w:eastAsia="標楷體" w:hAnsi="Times New Roman" w:cs="Times New Roman" w:hint="eastAsia"/>
          <w:sz w:val="20"/>
          <w:lang w:eastAsia="zh-TW"/>
        </w:rPr>
      </w:pPr>
      <w:r w:rsidRPr="00D25922">
        <w:rPr>
          <w:rFonts w:ascii="Times New Roman" w:eastAsia="標楷體" w:hAnsi="Times New Roman" w:cs="Times New Roman"/>
          <w:sz w:val="20"/>
          <w:lang w:eastAsia="zh-TW"/>
        </w:rPr>
        <w:t xml:space="preserve">112.10.11  </w:t>
      </w:r>
      <w:r w:rsidRPr="00D25922">
        <w:rPr>
          <w:rFonts w:ascii="Times New Roman" w:eastAsia="標楷體" w:hAnsi="Times New Roman" w:cs="Times New Roman" w:hint="eastAsia"/>
          <w:sz w:val="20"/>
          <w:lang w:eastAsia="zh-TW"/>
        </w:rPr>
        <w:t>高醫秘字第</w:t>
      </w:r>
      <w:r w:rsidRPr="00D25922">
        <w:rPr>
          <w:rFonts w:ascii="Times New Roman" w:eastAsia="標楷體" w:hAnsi="Times New Roman" w:cs="Times New Roman" w:hint="eastAsia"/>
          <w:sz w:val="20"/>
          <w:lang w:eastAsia="zh-TW"/>
        </w:rPr>
        <w:t>1121103396</w:t>
      </w:r>
      <w:r w:rsidRPr="00D25922">
        <w:rPr>
          <w:rFonts w:ascii="Times New Roman" w:eastAsia="標楷體" w:hAnsi="Times New Roman" w:cs="Times New Roman" w:hint="eastAsia"/>
          <w:sz w:val="20"/>
          <w:lang w:eastAsia="zh-TW"/>
        </w:rPr>
        <w:t>號函公布</w:t>
      </w:r>
    </w:p>
    <w:bookmarkEnd w:id="1"/>
    <w:p w14:paraId="6E3B0B46" w14:textId="77777777" w:rsidR="00A17A2A" w:rsidRPr="00D56CAB" w:rsidRDefault="00A17A2A" w:rsidP="000270FE">
      <w:pPr>
        <w:tabs>
          <w:tab w:val="left" w:pos="6237"/>
        </w:tabs>
        <w:spacing w:after="0" w:line="240" w:lineRule="exact"/>
        <w:ind w:leftChars="2384" w:left="5245" w:rightChars="-118" w:right="-260" w:firstLineChars="283" w:firstLine="623"/>
        <w:rPr>
          <w:rFonts w:ascii="Times New Roman" w:eastAsia="標楷體" w:hAnsi="Times New Roman" w:cs="Times New Roman"/>
          <w:lang w:eastAsia="zh-TW"/>
        </w:rPr>
      </w:pPr>
    </w:p>
    <w:tbl>
      <w:tblPr>
        <w:tblStyle w:val="a7"/>
        <w:tblW w:w="97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8778"/>
      </w:tblGrid>
      <w:tr w:rsidR="00D56CAB" w:rsidRPr="00D56CAB" w14:paraId="76845955" w14:textId="77777777" w:rsidTr="00386CA3">
        <w:trPr>
          <w:trHeight w:val="1098"/>
          <w:jc w:val="center"/>
        </w:trPr>
        <w:tc>
          <w:tcPr>
            <w:tcW w:w="979" w:type="dxa"/>
          </w:tcPr>
          <w:p w14:paraId="6A2C7E81" w14:textId="77777777" w:rsidR="00A17A2A" w:rsidRPr="00D56CAB" w:rsidRDefault="00A17A2A" w:rsidP="0061068B">
            <w:pPr>
              <w:jc w:val="both"/>
              <w:rPr>
                <w:rFonts w:ascii="Times New Roman" w:eastAsia="標楷體" w:hAnsi="Times New Roman" w:cs="Times New Roman"/>
                <w:sz w:val="24"/>
              </w:rPr>
            </w:pPr>
            <w:r w:rsidRPr="00D56CAB">
              <w:rPr>
                <w:rFonts w:ascii="Times New Roman" w:eastAsia="標楷體" w:hAnsi="Times New Roman" w:cs="Times New Roman"/>
                <w:sz w:val="24"/>
              </w:rPr>
              <w:t>第</w:t>
            </w:r>
            <w:r w:rsidRPr="00D56CAB">
              <w:rPr>
                <w:rFonts w:ascii="Times New Roman" w:eastAsia="標楷體" w:hAnsi="Times New Roman" w:cs="Times New Roman"/>
                <w:sz w:val="24"/>
              </w:rPr>
              <w:t>1</w:t>
            </w:r>
            <w:r w:rsidRPr="00D56CAB">
              <w:rPr>
                <w:rFonts w:ascii="Times New Roman" w:eastAsia="標楷體" w:hAnsi="Times New Roman" w:cs="Times New Roman"/>
                <w:sz w:val="24"/>
              </w:rPr>
              <w:t>條</w:t>
            </w:r>
          </w:p>
        </w:tc>
        <w:tc>
          <w:tcPr>
            <w:tcW w:w="8778" w:type="dxa"/>
          </w:tcPr>
          <w:p w14:paraId="0FE8BE18"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為綜理本校受委託興建經營國立清華大學附設桃園醫院於籌建期間能依與國立清華大學簽訂之投資契約、投資執行計畫書及興建執行計畫書其醫院興建執行相關計劃業務，依據本校組織規程第十八條規定，設置本校受委託興建經營國立清華大學附設桃園醫院籌設委員會（以下簡稱本委員會），並訂定本辦法。</w:t>
            </w:r>
          </w:p>
          <w:p w14:paraId="47FE014A" w14:textId="6392C051" w:rsidR="00A17A2A" w:rsidRPr="00DB16B1" w:rsidRDefault="00A17A2A" w:rsidP="0061068B">
            <w:pPr>
              <w:jc w:val="both"/>
              <w:rPr>
                <w:rFonts w:ascii="Times New Roman" w:eastAsia="標楷體" w:hAnsi="Times New Roman" w:cs="Times New Roman"/>
                <w:sz w:val="24"/>
                <w:lang w:eastAsia="zh-TW"/>
              </w:rPr>
            </w:pPr>
          </w:p>
        </w:tc>
      </w:tr>
      <w:tr w:rsidR="00D56CAB" w:rsidRPr="00D56CAB" w14:paraId="1F305A50" w14:textId="77777777" w:rsidTr="00386CA3">
        <w:trPr>
          <w:trHeight w:val="1531"/>
          <w:jc w:val="center"/>
        </w:trPr>
        <w:tc>
          <w:tcPr>
            <w:tcW w:w="979" w:type="dxa"/>
          </w:tcPr>
          <w:p w14:paraId="4E640FD5" w14:textId="77777777" w:rsidR="00A17A2A" w:rsidRPr="00D56CAB" w:rsidRDefault="00A17A2A" w:rsidP="0061068B">
            <w:pPr>
              <w:jc w:val="both"/>
              <w:rPr>
                <w:rFonts w:ascii="Times New Roman" w:eastAsia="標楷體" w:hAnsi="Times New Roman" w:cs="Times New Roman"/>
                <w:sz w:val="24"/>
              </w:rPr>
            </w:pPr>
            <w:r w:rsidRPr="00D56CAB">
              <w:rPr>
                <w:rFonts w:ascii="Times New Roman" w:eastAsia="標楷體" w:hAnsi="Times New Roman" w:cs="Times New Roman"/>
                <w:sz w:val="24"/>
              </w:rPr>
              <w:t>第</w:t>
            </w:r>
            <w:r w:rsidRPr="00D56CAB">
              <w:rPr>
                <w:rFonts w:ascii="Times New Roman" w:eastAsia="標楷體" w:hAnsi="Times New Roman" w:cs="Times New Roman"/>
                <w:sz w:val="24"/>
              </w:rPr>
              <w:t>2</w:t>
            </w:r>
            <w:r w:rsidRPr="00D56CAB">
              <w:rPr>
                <w:rFonts w:ascii="Times New Roman" w:eastAsia="標楷體" w:hAnsi="Times New Roman" w:cs="Times New Roman"/>
                <w:sz w:val="24"/>
              </w:rPr>
              <w:t>條</w:t>
            </w:r>
          </w:p>
        </w:tc>
        <w:tc>
          <w:tcPr>
            <w:tcW w:w="8778" w:type="dxa"/>
          </w:tcPr>
          <w:p w14:paraId="2DE09D71"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本委員會任務如下：</w:t>
            </w:r>
          </w:p>
          <w:p w14:paraId="1D04C707"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一、審議醫院建築物新建工程設計、規劃與監督管理施工品質計畫。</w:t>
            </w:r>
          </w:p>
          <w:p w14:paraId="5B541C40"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二、審議醫院營運計畫。</w:t>
            </w:r>
          </w:p>
          <w:p w14:paraId="44CCB2BE"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三、審議對主管機關或外部機構重大決策事項。</w:t>
            </w:r>
          </w:p>
          <w:p w14:paraId="7BF207A6"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四、其他有關醫院興建過程中重大事項與發展規劃。</w:t>
            </w:r>
          </w:p>
          <w:p w14:paraId="17331EC6" w14:textId="3AFA42C7" w:rsidR="00A17A2A" w:rsidRPr="00DB16B1" w:rsidRDefault="00A17A2A" w:rsidP="0061068B">
            <w:pPr>
              <w:ind w:left="480" w:hangingChars="200" w:hanging="480"/>
              <w:jc w:val="both"/>
              <w:rPr>
                <w:rFonts w:ascii="Times New Roman" w:eastAsia="標楷體" w:hAnsi="Times New Roman" w:cs="Times New Roman"/>
                <w:sz w:val="24"/>
                <w:lang w:eastAsia="zh-TW"/>
              </w:rPr>
            </w:pPr>
          </w:p>
        </w:tc>
      </w:tr>
      <w:tr w:rsidR="00D56CAB" w:rsidRPr="00D56CAB" w14:paraId="5CF488A1" w14:textId="77777777" w:rsidTr="00386CA3">
        <w:trPr>
          <w:trHeight w:val="803"/>
          <w:jc w:val="center"/>
        </w:trPr>
        <w:tc>
          <w:tcPr>
            <w:tcW w:w="979" w:type="dxa"/>
          </w:tcPr>
          <w:p w14:paraId="1D057460" w14:textId="77777777" w:rsidR="00A17A2A" w:rsidRPr="00D56CAB" w:rsidRDefault="00A17A2A" w:rsidP="0061068B">
            <w:pPr>
              <w:jc w:val="both"/>
              <w:rPr>
                <w:rFonts w:ascii="Times New Roman" w:eastAsia="標楷體" w:hAnsi="Times New Roman" w:cs="Times New Roman"/>
                <w:sz w:val="24"/>
              </w:rPr>
            </w:pPr>
            <w:r w:rsidRPr="00D56CAB">
              <w:rPr>
                <w:rFonts w:ascii="Times New Roman" w:eastAsia="標楷體" w:hAnsi="Times New Roman" w:cs="Times New Roman"/>
                <w:sz w:val="24"/>
              </w:rPr>
              <w:t>第</w:t>
            </w:r>
            <w:r w:rsidRPr="00D56CAB">
              <w:rPr>
                <w:rFonts w:ascii="Times New Roman" w:eastAsia="標楷體" w:hAnsi="Times New Roman" w:cs="Times New Roman"/>
                <w:sz w:val="24"/>
              </w:rPr>
              <w:t>3</w:t>
            </w:r>
            <w:r w:rsidRPr="00D56CAB">
              <w:rPr>
                <w:rFonts w:ascii="Times New Roman" w:eastAsia="標楷體" w:hAnsi="Times New Roman" w:cs="Times New Roman"/>
                <w:sz w:val="24"/>
              </w:rPr>
              <w:t>條</w:t>
            </w:r>
          </w:p>
        </w:tc>
        <w:tc>
          <w:tcPr>
            <w:tcW w:w="8778" w:type="dxa"/>
          </w:tcPr>
          <w:p w14:paraId="210DF3F9"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本委員會置委員十五至二十一名，由下列人員組成：</w:t>
            </w:r>
          </w:p>
          <w:p w14:paraId="2F554A56" w14:textId="62ED70F2" w:rsidR="00DB16B1" w:rsidRPr="00EC06FE" w:rsidRDefault="00DB16B1" w:rsidP="0061068B">
            <w:pPr>
              <w:pStyle w:val="aa"/>
              <w:numPr>
                <w:ilvl w:val="0"/>
                <w:numId w:val="2"/>
              </w:numPr>
              <w:ind w:leftChars="0"/>
              <w:jc w:val="both"/>
              <w:rPr>
                <w:rFonts w:ascii="Times New Roman" w:eastAsia="標楷體" w:hAnsi="Times New Roman" w:cs="Times New Roman"/>
                <w:sz w:val="24"/>
                <w:lang w:eastAsia="zh-TW"/>
              </w:rPr>
            </w:pPr>
            <w:r w:rsidRPr="00EC06FE">
              <w:rPr>
                <w:rFonts w:ascii="Times New Roman" w:eastAsia="標楷體" w:hAnsi="Times New Roman" w:cs="Times New Roman" w:hint="eastAsia"/>
                <w:sz w:val="24"/>
                <w:lang w:eastAsia="zh-TW"/>
              </w:rPr>
              <w:t>主任委員一名，由校長兼任之。</w:t>
            </w:r>
          </w:p>
          <w:p w14:paraId="76118587" w14:textId="76039196" w:rsidR="00DB16B1" w:rsidRPr="00EC06FE" w:rsidRDefault="00DB16B1" w:rsidP="0061068B">
            <w:pPr>
              <w:pStyle w:val="aa"/>
              <w:numPr>
                <w:ilvl w:val="0"/>
                <w:numId w:val="2"/>
              </w:numPr>
              <w:ind w:leftChars="0"/>
              <w:jc w:val="both"/>
              <w:rPr>
                <w:rFonts w:ascii="Times New Roman" w:eastAsia="標楷體" w:hAnsi="Times New Roman" w:cs="Times New Roman"/>
                <w:sz w:val="24"/>
                <w:lang w:eastAsia="zh-TW"/>
              </w:rPr>
            </w:pPr>
            <w:r w:rsidRPr="00EC06FE">
              <w:rPr>
                <w:rFonts w:ascii="Times New Roman" w:eastAsia="標楷體" w:hAnsi="Times New Roman" w:cs="Times New Roman" w:hint="eastAsia"/>
                <w:sz w:val="24"/>
                <w:lang w:eastAsia="zh-TW"/>
              </w:rPr>
              <w:t>副主任委員一名，由副校長一名兼任之。</w:t>
            </w:r>
          </w:p>
          <w:p w14:paraId="193C8667" w14:textId="557AFD83" w:rsidR="00DB16B1" w:rsidRPr="00EC06FE" w:rsidRDefault="00DB16B1" w:rsidP="0061068B">
            <w:pPr>
              <w:pStyle w:val="aa"/>
              <w:numPr>
                <w:ilvl w:val="0"/>
                <w:numId w:val="2"/>
              </w:numPr>
              <w:ind w:leftChars="0"/>
              <w:jc w:val="both"/>
              <w:rPr>
                <w:rFonts w:ascii="Times New Roman" w:eastAsia="標楷體" w:hAnsi="Times New Roman" w:cs="Times New Roman"/>
                <w:sz w:val="24"/>
                <w:lang w:eastAsia="zh-TW"/>
              </w:rPr>
            </w:pPr>
            <w:r w:rsidRPr="00EC06FE">
              <w:rPr>
                <w:rFonts w:ascii="Times New Roman" w:eastAsia="標楷體" w:hAnsi="Times New Roman" w:cs="Times New Roman" w:hint="eastAsia"/>
                <w:sz w:val="24"/>
                <w:lang w:eastAsia="zh-TW"/>
              </w:rPr>
              <w:t>本校主任秘書、附屬機構或受委託經營之相關事業首長為當然委員外，其餘委員得遴聘校內外具相關專業人士擔任。</w:t>
            </w:r>
          </w:p>
          <w:p w14:paraId="41FCE8B9"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前項委員由校長核定後聘兼之。委員任期為一年，期滿得連任。</w:t>
            </w:r>
          </w:p>
          <w:p w14:paraId="1E78C9BD"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必要時，得邀請校內外具相關專業人士出席會議。</w:t>
            </w:r>
          </w:p>
          <w:p w14:paraId="1AE02AE8"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本委員會置執行秘書一人，幹事二人。</w:t>
            </w:r>
          </w:p>
          <w:p w14:paraId="553B3F34" w14:textId="3C298CDE" w:rsidR="00A17A2A" w:rsidRPr="00DB16B1" w:rsidRDefault="00A17A2A" w:rsidP="0061068B">
            <w:pPr>
              <w:jc w:val="both"/>
              <w:rPr>
                <w:rFonts w:ascii="Times New Roman" w:eastAsia="標楷體" w:hAnsi="Times New Roman" w:cs="Times New Roman"/>
                <w:sz w:val="24"/>
                <w:lang w:eastAsia="zh-TW"/>
              </w:rPr>
            </w:pPr>
          </w:p>
        </w:tc>
      </w:tr>
      <w:tr w:rsidR="00D56CAB" w:rsidRPr="00D56CAB" w14:paraId="3B1F1B3B" w14:textId="77777777" w:rsidTr="00386CA3">
        <w:trPr>
          <w:trHeight w:val="631"/>
          <w:jc w:val="center"/>
        </w:trPr>
        <w:tc>
          <w:tcPr>
            <w:tcW w:w="979" w:type="dxa"/>
          </w:tcPr>
          <w:p w14:paraId="2C2A610E" w14:textId="77777777" w:rsidR="00A17A2A" w:rsidRPr="00D56CAB" w:rsidRDefault="00A17A2A" w:rsidP="0061068B">
            <w:pPr>
              <w:jc w:val="both"/>
              <w:rPr>
                <w:rFonts w:ascii="Times New Roman" w:eastAsia="標楷體" w:hAnsi="Times New Roman" w:cs="Times New Roman"/>
                <w:sz w:val="24"/>
              </w:rPr>
            </w:pPr>
            <w:r w:rsidRPr="00D56CAB">
              <w:rPr>
                <w:rFonts w:ascii="Times New Roman" w:eastAsia="標楷體" w:hAnsi="Times New Roman" w:cs="Times New Roman"/>
                <w:sz w:val="24"/>
              </w:rPr>
              <w:t>第</w:t>
            </w:r>
            <w:r w:rsidRPr="00D56CAB">
              <w:rPr>
                <w:rFonts w:ascii="Times New Roman" w:eastAsia="標楷體" w:hAnsi="Times New Roman" w:cs="Times New Roman"/>
                <w:sz w:val="24"/>
              </w:rPr>
              <w:t>4</w:t>
            </w:r>
            <w:r w:rsidRPr="00D56CAB">
              <w:rPr>
                <w:rFonts w:ascii="Times New Roman" w:eastAsia="標楷體" w:hAnsi="Times New Roman" w:cs="Times New Roman"/>
                <w:sz w:val="24"/>
              </w:rPr>
              <w:t>條</w:t>
            </w:r>
          </w:p>
        </w:tc>
        <w:tc>
          <w:tcPr>
            <w:tcW w:w="8778" w:type="dxa"/>
          </w:tcPr>
          <w:p w14:paraId="30C04016"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本委員會每季定期召開一次委員會議，並視實際需要得召開臨時會議。必要時，得請相關單位人員列席會議。</w:t>
            </w:r>
          </w:p>
          <w:p w14:paraId="5A674F5A"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委員均應親自出席會議，不得由他人代理出席。</w:t>
            </w:r>
          </w:p>
          <w:p w14:paraId="485C14D9"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本委員會開會時須有全體委員二分之一以上出席方得開會，其決議時以出席委員三分之二以上贊同為通過。</w:t>
            </w:r>
          </w:p>
          <w:p w14:paraId="0F98AAEB" w14:textId="77777777" w:rsidR="00DB16B1" w:rsidRPr="00DB16B1" w:rsidRDefault="00DB16B1" w:rsidP="0061068B">
            <w:pPr>
              <w:jc w:val="both"/>
              <w:rPr>
                <w:rFonts w:ascii="Times New Roman" w:eastAsia="標楷體" w:hAnsi="Times New Roman" w:cs="Times New Roman"/>
                <w:sz w:val="24"/>
                <w:lang w:eastAsia="zh-TW"/>
              </w:rPr>
            </w:pPr>
            <w:r w:rsidRPr="00DB16B1">
              <w:rPr>
                <w:rFonts w:ascii="Times New Roman" w:eastAsia="標楷體" w:hAnsi="Times New Roman" w:cs="Times New Roman" w:hint="eastAsia"/>
                <w:sz w:val="24"/>
                <w:lang w:eastAsia="zh-TW"/>
              </w:rPr>
              <w:t>校外委員出席時，依本校規定支付出席費及交通費。</w:t>
            </w:r>
          </w:p>
          <w:p w14:paraId="20501415" w14:textId="32097AFE" w:rsidR="00A17A2A" w:rsidRPr="00DB16B1" w:rsidRDefault="00A17A2A" w:rsidP="0061068B">
            <w:pPr>
              <w:jc w:val="both"/>
              <w:rPr>
                <w:rFonts w:ascii="Times New Roman" w:eastAsia="標楷體" w:hAnsi="Times New Roman" w:cs="Times New Roman"/>
                <w:sz w:val="24"/>
                <w:lang w:eastAsia="zh-TW"/>
              </w:rPr>
            </w:pPr>
          </w:p>
        </w:tc>
      </w:tr>
      <w:tr w:rsidR="00D56CAB" w:rsidRPr="00D56CAB" w14:paraId="3B53100F" w14:textId="77777777" w:rsidTr="00386CA3">
        <w:trPr>
          <w:trHeight w:val="68"/>
          <w:jc w:val="center"/>
        </w:trPr>
        <w:tc>
          <w:tcPr>
            <w:tcW w:w="979" w:type="dxa"/>
          </w:tcPr>
          <w:p w14:paraId="336489B7" w14:textId="77777777" w:rsidR="00A17A2A" w:rsidRPr="00D56CAB" w:rsidRDefault="00A17A2A" w:rsidP="0061068B">
            <w:pPr>
              <w:jc w:val="both"/>
              <w:rPr>
                <w:rFonts w:ascii="Times New Roman" w:eastAsia="標楷體" w:hAnsi="Times New Roman" w:cs="Times New Roman"/>
                <w:sz w:val="24"/>
              </w:rPr>
            </w:pPr>
            <w:r w:rsidRPr="00D56CAB">
              <w:rPr>
                <w:rFonts w:ascii="Times New Roman" w:eastAsia="標楷體" w:hAnsi="Times New Roman" w:cs="Times New Roman"/>
                <w:sz w:val="24"/>
              </w:rPr>
              <w:t>第</w:t>
            </w:r>
            <w:r w:rsidRPr="00D56CAB">
              <w:rPr>
                <w:rFonts w:ascii="Times New Roman" w:eastAsia="標楷體" w:hAnsi="Times New Roman" w:cs="Times New Roman"/>
                <w:sz w:val="24"/>
              </w:rPr>
              <w:t>5</w:t>
            </w:r>
            <w:r w:rsidRPr="00D56CAB">
              <w:rPr>
                <w:rFonts w:ascii="Times New Roman" w:eastAsia="標楷體" w:hAnsi="Times New Roman" w:cs="Times New Roman"/>
                <w:sz w:val="24"/>
              </w:rPr>
              <w:t>條</w:t>
            </w:r>
          </w:p>
        </w:tc>
        <w:tc>
          <w:tcPr>
            <w:tcW w:w="8778" w:type="dxa"/>
          </w:tcPr>
          <w:p w14:paraId="23C53138" w14:textId="08A82AF5" w:rsidR="00DB16B1" w:rsidRPr="00DB16B1" w:rsidRDefault="00B9439D" w:rsidP="0061068B">
            <w:pPr>
              <w:jc w:val="both"/>
              <w:rPr>
                <w:rFonts w:ascii="Times New Roman" w:eastAsia="標楷體" w:hAnsi="Times New Roman" w:cs="Times New Roman"/>
                <w:sz w:val="24"/>
                <w:lang w:eastAsia="zh-TW"/>
              </w:rPr>
            </w:pPr>
            <w:r w:rsidRPr="00B9439D">
              <w:rPr>
                <w:rFonts w:ascii="Times New Roman" w:eastAsia="標楷體" w:hAnsi="Times New Roman" w:cs="Times New Roman" w:hint="eastAsia"/>
                <w:sz w:val="24"/>
                <w:lang w:eastAsia="zh-TW"/>
              </w:rPr>
              <w:t>本辦法經行政會議審議通過後，自公布日起實施，修正時亦同。</w:t>
            </w:r>
          </w:p>
          <w:p w14:paraId="3303FECF" w14:textId="62B3B8CB" w:rsidR="00A17A2A" w:rsidRPr="00DB16B1" w:rsidRDefault="00A17A2A" w:rsidP="0061068B">
            <w:pPr>
              <w:jc w:val="both"/>
              <w:rPr>
                <w:rFonts w:ascii="Times New Roman" w:eastAsia="標楷體" w:hAnsi="Times New Roman" w:cs="Times New Roman"/>
                <w:sz w:val="24"/>
                <w:lang w:eastAsia="zh-TW"/>
              </w:rPr>
            </w:pPr>
          </w:p>
        </w:tc>
      </w:tr>
    </w:tbl>
    <w:p w14:paraId="7C9BE683" w14:textId="77777777" w:rsidR="00A17A2A" w:rsidRPr="00D56CAB" w:rsidRDefault="00A17A2A" w:rsidP="0031565E">
      <w:pPr>
        <w:rPr>
          <w:rFonts w:ascii="Times New Roman" w:eastAsia="標楷體" w:hAnsi="Times New Roman" w:cs="Times New Roman"/>
          <w:lang w:eastAsia="zh-TW"/>
        </w:rPr>
      </w:pPr>
    </w:p>
    <w:sectPr w:rsidR="00A17A2A" w:rsidRPr="00D56CAB" w:rsidSect="0031565E">
      <w:type w:val="continuous"/>
      <w:pgSz w:w="11920" w:h="1686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7DDE2" w14:textId="77777777" w:rsidR="006834D4" w:rsidRDefault="006834D4" w:rsidP="00AD5FED">
      <w:pPr>
        <w:spacing w:after="0" w:line="240" w:lineRule="auto"/>
      </w:pPr>
      <w:r>
        <w:separator/>
      </w:r>
    </w:p>
  </w:endnote>
  <w:endnote w:type="continuationSeparator" w:id="0">
    <w:p w14:paraId="5B2634B6" w14:textId="77777777" w:rsidR="006834D4" w:rsidRDefault="006834D4" w:rsidP="00AD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CDD7" w14:textId="77777777" w:rsidR="006834D4" w:rsidRDefault="006834D4" w:rsidP="00AD5FED">
      <w:pPr>
        <w:spacing w:after="0" w:line="240" w:lineRule="auto"/>
      </w:pPr>
      <w:r>
        <w:separator/>
      </w:r>
    </w:p>
  </w:footnote>
  <w:footnote w:type="continuationSeparator" w:id="0">
    <w:p w14:paraId="15521038" w14:textId="77777777" w:rsidR="006834D4" w:rsidRDefault="006834D4" w:rsidP="00AD5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252D2"/>
    <w:multiLevelType w:val="hybridMultilevel"/>
    <w:tmpl w:val="02C0ED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85599B"/>
    <w:multiLevelType w:val="hybridMultilevel"/>
    <w:tmpl w:val="CF1C1A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1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D0"/>
    <w:rsid w:val="0001718F"/>
    <w:rsid w:val="000270FE"/>
    <w:rsid w:val="00042115"/>
    <w:rsid w:val="00083A04"/>
    <w:rsid w:val="00147B5A"/>
    <w:rsid w:val="001533C9"/>
    <w:rsid w:val="001703B8"/>
    <w:rsid w:val="00173C76"/>
    <w:rsid w:val="00233277"/>
    <w:rsid w:val="002521BE"/>
    <w:rsid w:val="00254256"/>
    <w:rsid w:val="00280514"/>
    <w:rsid w:val="00283693"/>
    <w:rsid w:val="0031565E"/>
    <w:rsid w:val="0032393E"/>
    <w:rsid w:val="00386800"/>
    <w:rsid w:val="003A2081"/>
    <w:rsid w:val="003F3E5A"/>
    <w:rsid w:val="00432E95"/>
    <w:rsid w:val="00474047"/>
    <w:rsid w:val="004B2507"/>
    <w:rsid w:val="004C606D"/>
    <w:rsid w:val="004E411C"/>
    <w:rsid w:val="00504FD5"/>
    <w:rsid w:val="005354A8"/>
    <w:rsid w:val="005445C4"/>
    <w:rsid w:val="005534FC"/>
    <w:rsid w:val="005829E7"/>
    <w:rsid w:val="005834F4"/>
    <w:rsid w:val="005C3DFA"/>
    <w:rsid w:val="0060177B"/>
    <w:rsid w:val="0061068B"/>
    <w:rsid w:val="006210AB"/>
    <w:rsid w:val="006834D4"/>
    <w:rsid w:val="006838F5"/>
    <w:rsid w:val="006C5C41"/>
    <w:rsid w:val="007070D5"/>
    <w:rsid w:val="00732833"/>
    <w:rsid w:val="00747A46"/>
    <w:rsid w:val="0075325C"/>
    <w:rsid w:val="007535FD"/>
    <w:rsid w:val="00777F27"/>
    <w:rsid w:val="00791332"/>
    <w:rsid w:val="007E7F04"/>
    <w:rsid w:val="00802996"/>
    <w:rsid w:val="00826265"/>
    <w:rsid w:val="00843EE8"/>
    <w:rsid w:val="00845CA1"/>
    <w:rsid w:val="00847A8C"/>
    <w:rsid w:val="008639B4"/>
    <w:rsid w:val="008A745C"/>
    <w:rsid w:val="008B16C6"/>
    <w:rsid w:val="008E51D0"/>
    <w:rsid w:val="0093648D"/>
    <w:rsid w:val="00994365"/>
    <w:rsid w:val="009A02FE"/>
    <w:rsid w:val="009B3524"/>
    <w:rsid w:val="009C220D"/>
    <w:rsid w:val="00A178DB"/>
    <w:rsid w:val="00A17A2A"/>
    <w:rsid w:val="00A2040D"/>
    <w:rsid w:val="00A95224"/>
    <w:rsid w:val="00AC734E"/>
    <w:rsid w:val="00AD5FED"/>
    <w:rsid w:val="00B00DDF"/>
    <w:rsid w:val="00B20971"/>
    <w:rsid w:val="00B7285B"/>
    <w:rsid w:val="00B9439D"/>
    <w:rsid w:val="00BB3093"/>
    <w:rsid w:val="00C42EB4"/>
    <w:rsid w:val="00C43F3E"/>
    <w:rsid w:val="00C756E9"/>
    <w:rsid w:val="00C9033D"/>
    <w:rsid w:val="00D25922"/>
    <w:rsid w:val="00D55233"/>
    <w:rsid w:val="00D56CAB"/>
    <w:rsid w:val="00D63595"/>
    <w:rsid w:val="00D65BF0"/>
    <w:rsid w:val="00D94453"/>
    <w:rsid w:val="00DB16B1"/>
    <w:rsid w:val="00DB29CF"/>
    <w:rsid w:val="00E35E95"/>
    <w:rsid w:val="00E5593E"/>
    <w:rsid w:val="00E64935"/>
    <w:rsid w:val="00EC06FE"/>
    <w:rsid w:val="00F422EA"/>
    <w:rsid w:val="00F662F2"/>
    <w:rsid w:val="00FB4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634BCD"/>
  <w15:docId w15:val="{B196D9C0-1B47-4191-B3F4-02E96493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6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FED"/>
    <w:pPr>
      <w:tabs>
        <w:tab w:val="center" w:pos="4153"/>
        <w:tab w:val="right" w:pos="8306"/>
      </w:tabs>
      <w:snapToGrid w:val="0"/>
    </w:pPr>
    <w:rPr>
      <w:sz w:val="20"/>
      <w:szCs w:val="20"/>
    </w:rPr>
  </w:style>
  <w:style w:type="character" w:customStyle="1" w:styleId="a4">
    <w:name w:val="頁首 字元"/>
    <w:basedOn w:val="a0"/>
    <w:link w:val="a3"/>
    <w:uiPriority w:val="99"/>
    <w:rsid w:val="00AD5FED"/>
    <w:rPr>
      <w:sz w:val="20"/>
      <w:szCs w:val="20"/>
    </w:rPr>
  </w:style>
  <w:style w:type="paragraph" w:styleId="a5">
    <w:name w:val="footer"/>
    <w:basedOn w:val="a"/>
    <w:link w:val="a6"/>
    <w:uiPriority w:val="99"/>
    <w:unhideWhenUsed/>
    <w:rsid w:val="00AD5FED"/>
    <w:pPr>
      <w:tabs>
        <w:tab w:val="center" w:pos="4153"/>
        <w:tab w:val="right" w:pos="8306"/>
      </w:tabs>
      <w:snapToGrid w:val="0"/>
    </w:pPr>
    <w:rPr>
      <w:sz w:val="20"/>
      <w:szCs w:val="20"/>
    </w:rPr>
  </w:style>
  <w:style w:type="character" w:customStyle="1" w:styleId="a6">
    <w:name w:val="頁尾 字元"/>
    <w:basedOn w:val="a0"/>
    <w:link w:val="a5"/>
    <w:uiPriority w:val="99"/>
    <w:rsid w:val="00AD5FED"/>
    <w:rPr>
      <w:sz w:val="20"/>
      <w:szCs w:val="20"/>
    </w:rPr>
  </w:style>
  <w:style w:type="table" w:styleId="a7">
    <w:name w:val="Table Grid"/>
    <w:basedOn w:val="a1"/>
    <w:uiPriority w:val="59"/>
    <w:rsid w:val="0031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4849"/>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B4849"/>
    <w:rPr>
      <w:rFonts w:asciiTheme="majorHAnsi" w:eastAsiaTheme="majorEastAsia" w:hAnsiTheme="majorHAnsi" w:cstheme="majorBidi"/>
      <w:sz w:val="18"/>
      <w:szCs w:val="18"/>
    </w:rPr>
  </w:style>
  <w:style w:type="paragraph" w:styleId="aa">
    <w:name w:val="List Paragraph"/>
    <w:basedOn w:val="a"/>
    <w:uiPriority w:val="34"/>
    <w:qFormat/>
    <w:rsid w:val="00EC06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198">
      <w:bodyDiv w:val="1"/>
      <w:marLeft w:val="0"/>
      <w:marRight w:val="0"/>
      <w:marTop w:val="0"/>
      <w:marBottom w:val="0"/>
      <w:divBdr>
        <w:top w:val="none" w:sz="0" w:space="0" w:color="auto"/>
        <w:left w:val="none" w:sz="0" w:space="0" w:color="auto"/>
        <w:bottom w:val="none" w:sz="0" w:space="0" w:color="auto"/>
        <w:right w:val="none" w:sz="0" w:space="0" w:color="auto"/>
      </w:divBdr>
    </w:div>
    <w:div w:id="439180232">
      <w:bodyDiv w:val="1"/>
      <w:marLeft w:val="0"/>
      <w:marRight w:val="0"/>
      <w:marTop w:val="0"/>
      <w:marBottom w:val="0"/>
      <w:divBdr>
        <w:top w:val="none" w:sz="0" w:space="0" w:color="auto"/>
        <w:left w:val="none" w:sz="0" w:space="0" w:color="auto"/>
        <w:bottom w:val="none" w:sz="0" w:space="0" w:color="auto"/>
        <w:right w:val="none" w:sz="0" w:space="0" w:color="auto"/>
      </w:divBdr>
    </w:div>
    <w:div w:id="690885145">
      <w:bodyDiv w:val="1"/>
      <w:marLeft w:val="0"/>
      <w:marRight w:val="0"/>
      <w:marTop w:val="0"/>
      <w:marBottom w:val="0"/>
      <w:divBdr>
        <w:top w:val="none" w:sz="0" w:space="0" w:color="auto"/>
        <w:left w:val="none" w:sz="0" w:space="0" w:color="auto"/>
        <w:bottom w:val="none" w:sz="0" w:space="0" w:color="auto"/>
        <w:right w:val="none" w:sz="0" w:space="0" w:color="auto"/>
      </w:divBdr>
    </w:div>
    <w:div w:id="1100099328">
      <w:bodyDiv w:val="1"/>
      <w:marLeft w:val="0"/>
      <w:marRight w:val="0"/>
      <w:marTop w:val="0"/>
      <w:marBottom w:val="0"/>
      <w:divBdr>
        <w:top w:val="none" w:sz="0" w:space="0" w:color="auto"/>
        <w:left w:val="none" w:sz="0" w:space="0" w:color="auto"/>
        <w:bottom w:val="none" w:sz="0" w:space="0" w:color="auto"/>
        <w:right w:val="none" w:sz="0" w:space="0" w:color="auto"/>
      </w:divBdr>
    </w:div>
    <w:div w:id="1746952716">
      <w:bodyDiv w:val="1"/>
      <w:marLeft w:val="0"/>
      <w:marRight w:val="0"/>
      <w:marTop w:val="0"/>
      <w:marBottom w:val="0"/>
      <w:divBdr>
        <w:top w:val="none" w:sz="0" w:space="0" w:color="auto"/>
        <w:left w:val="none" w:sz="0" w:space="0" w:color="auto"/>
        <w:bottom w:val="none" w:sz="0" w:space="0" w:color="auto"/>
        <w:right w:val="none" w:sz="0" w:space="0" w:color="auto"/>
      </w:divBdr>
    </w:div>
    <w:div w:id="1784491751">
      <w:bodyDiv w:val="1"/>
      <w:marLeft w:val="0"/>
      <w:marRight w:val="0"/>
      <w:marTop w:val="0"/>
      <w:marBottom w:val="0"/>
      <w:divBdr>
        <w:top w:val="none" w:sz="0" w:space="0" w:color="auto"/>
        <w:left w:val="none" w:sz="0" w:space="0" w:color="auto"/>
        <w:bottom w:val="none" w:sz="0" w:space="0" w:color="auto"/>
        <w:right w:val="none" w:sz="0" w:space="0" w:color="auto"/>
      </w:divBdr>
    </w:div>
    <w:div w:id="186451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lanmei</cp:lastModifiedBy>
  <cp:revision>2</cp:revision>
  <dcterms:created xsi:type="dcterms:W3CDTF">2023-10-11T06:26:00Z</dcterms:created>
  <dcterms:modified xsi:type="dcterms:W3CDTF">2023-10-11T06:26:00Z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LastSaved">
    <vt:filetime>2016-05-11T00:00:00Z</vt:filetime>
  </property>
</Properties>
</file>