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00" w:rsidRPr="004F5E98" w:rsidRDefault="00475D00" w:rsidP="00475D00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28"/>
        </w:rPr>
      </w:pPr>
      <w:bookmarkStart w:id="0" w:name="_GoBack"/>
      <w:bookmarkEnd w:id="0"/>
      <w:r w:rsidRPr="004F5E98">
        <w:rPr>
          <w:rFonts w:eastAsia="標楷體"/>
          <w:b/>
          <w:color w:val="000000" w:themeColor="text1"/>
          <w:sz w:val="32"/>
          <w:szCs w:val="28"/>
        </w:rPr>
        <w:t>高雄醫學大學圖書館讀者違規處理辦法</w:t>
      </w:r>
    </w:p>
    <w:p w:rsidR="004F5E98" w:rsidRPr="004F5E98" w:rsidRDefault="004F5E98" w:rsidP="004F5E98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28"/>
        </w:rPr>
      </w:pPr>
      <w:r w:rsidRPr="004F5E98">
        <w:rPr>
          <w:rFonts w:eastAsia="標楷體"/>
          <w:b/>
          <w:color w:val="000000" w:themeColor="text1"/>
          <w:sz w:val="32"/>
          <w:szCs w:val="28"/>
        </w:rPr>
        <w:t>Kaohsiung Medical University</w:t>
      </w:r>
    </w:p>
    <w:p w:rsidR="004F5E98" w:rsidRPr="004F5E98" w:rsidRDefault="004F5E98" w:rsidP="004F5E98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28"/>
        </w:rPr>
      </w:pPr>
      <w:r w:rsidRPr="004F5E98">
        <w:rPr>
          <w:rFonts w:eastAsia="標楷體"/>
          <w:b/>
          <w:color w:val="000000" w:themeColor="text1"/>
          <w:sz w:val="32"/>
          <w:szCs w:val="28"/>
        </w:rPr>
        <w:t>Regulations for Handling Violations by Library Readers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 xml:space="preserve">95.11.10   </w:t>
      </w:r>
      <w:r w:rsidRPr="00C279FB">
        <w:rPr>
          <w:rFonts w:eastAsia="標楷體"/>
          <w:sz w:val="20"/>
        </w:rPr>
        <w:t>九十五學年度圖書館委員第</w:t>
      </w:r>
      <w:r w:rsidRPr="00C279FB">
        <w:rPr>
          <w:rFonts w:eastAsia="標楷體"/>
          <w:sz w:val="20"/>
        </w:rPr>
        <w:t>1</w:t>
      </w:r>
      <w:r w:rsidRPr="00C279FB">
        <w:rPr>
          <w:rFonts w:eastAsia="標楷體"/>
          <w:sz w:val="20"/>
        </w:rPr>
        <w:t>次會議通過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November 10, 2006 Passed by the 1</w:t>
      </w:r>
      <w:r w:rsidRPr="00C279FB">
        <w:rPr>
          <w:rFonts w:eastAsia="標楷體"/>
          <w:sz w:val="20"/>
          <w:vertAlign w:val="superscript"/>
        </w:rPr>
        <w:t>st</w:t>
      </w:r>
      <w:r w:rsidRPr="00C279FB">
        <w:rPr>
          <w:rFonts w:eastAsia="標楷體"/>
          <w:sz w:val="20"/>
        </w:rPr>
        <w:t xml:space="preserve"> Library Committee Meeting of the Academic Year 2006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 xml:space="preserve">95.12.05   </w:t>
      </w:r>
      <w:r w:rsidRPr="00C279FB">
        <w:rPr>
          <w:rFonts w:eastAsia="標楷體"/>
          <w:sz w:val="20"/>
        </w:rPr>
        <w:t>九十五學年度第三次法規會通過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December 5, 2006 Passed by the 3</w:t>
      </w:r>
      <w:r w:rsidRPr="00C279FB">
        <w:rPr>
          <w:rFonts w:eastAsia="標楷體"/>
          <w:sz w:val="20"/>
          <w:vertAlign w:val="superscript"/>
        </w:rPr>
        <w:t>rd</w:t>
      </w:r>
      <w:r w:rsidRPr="00C279FB">
        <w:rPr>
          <w:rFonts w:eastAsia="標楷體"/>
          <w:sz w:val="20"/>
        </w:rPr>
        <w:t xml:space="preserve"> Regulation Meeting of the Academic Year 2006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 xml:space="preserve">95.12.18   </w:t>
      </w:r>
      <w:r w:rsidRPr="00C279FB">
        <w:rPr>
          <w:rFonts w:eastAsia="標楷體"/>
          <w:sz w:val="20"/>
        </w:rPr>
        <w:t>九十五學年度第二次校務暨第五次行政聯席會議通過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December 18, 2006 Passed by the 2</w:t>
      </w:r>
      <w:r w:rsidRPr="00C279FB">
        <w:rPr>
          <w:rFonts w:eastAsia="標楷體"/>
          <w:sz w:val="20"/>
          <w:vertAlign w:val="superscript"/>
        </w:rPr>
        <w:t>nd</w:t>
      </w:r>
      <w:r w:rsidRPr="00C279FB">
        <w:rPr>
          <w:rFonts w:eastAsia="標楷體"/>
          <w:sz w:val="20"/>
        </w:rPr>
        <w:t xml:space="preserve"> University Council Meeting and the 5</w:t>
      </w:r>
      <w:r w:rsidRPr="00C279FB">
        <w:rPr>
          <w:rFonts w:eastAsia="標楷體"/>
          <w:sz w:val="20"/>
          <w:vertAlign w:val="superscript"/>
        </w:rPr>
        <w:t>th</w:t>
      </w:r>
      <w:r w:rsidRPr="00C279FB">
        <w:rPr>
          <w:rFonts w:eastAsia="標楷體"/>
          <w:sz w:val="20"/>
        </w:rPr>
        <w:t xml:space="preserve"> Joint Administrative Meeting of the Academic Year 2006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 xml:space="preserve">95.12.21   </w:t>
      </w:r>
      <w:r w:rsidRPr="00C279FB">
        <w:rPr>
          <w:rFonts w:eastAsia="標楷體"/>
          <w:sz w:val="20"/>
        </w:rPr>
        <w:t>高醫校一法字第</w:t>
      </w:r>
      <w:r w:rsidRPr="00C279FB">
        <w:rPr>
          <w:rFonts w:eastAsia="標楷體"/>
          <w:sz w:val="20"/>
        </w:rPr>
        <w:t>0950007965</w:t>
      </w:r>
      <w:r w:rsidRPr="00C279FB">
        <w:rPr>
          <w:rFonts w:eastAsia="標楷體"/>
          <w:sz w:val="20"/>
        </w:rPr>
        <w:t>號函公布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December 21, 2006 Promulgated via th</w:t>
      </w:r>
      <w:r w:rsidR="00B05042">
        <w:rPr>
          <w:rFonts w:eastAsia="標楷體"/>
          <w:sz w:val="20"/>
        </w:rPr>
        <w:t>e KMU official letter Hsiao Fa E</w:t>
      </w:r>
      <w:r w:rsidRPr="00C279FB">
        <w:rPr>
          <w:rFonts w:eastAsia="標楷體"/>
          <w:sz w:val="20"/>
        </w:rPr>
        <w:t xml:space="preserve"> Tzu No. 0950007965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>102.09.12  102</w:t>
      </w:r>
      <w:r w:rsidRPr="00C279FB">
        <w:rPr>
          <w:rFonts w:eastAsia="標楷體"/>
          <w:sz w:val="20"/>
        </w:rPr>
        <w:t>學年度第</w:t>
      </w:r>
      <w:r w:rsidRPr="00C279FB">
        <w:rPr>
          <w:rFonts w:eastAsia="標楷體"/>
          <w:sz w:val="20"/>
        </w:rPr>
        <w:t>1</w:t>
      </w:r>
      <w:r w:rsidRPr="00C279FB">
        <w:rPr>
          <w:rFonts w:eastAsia="標楷體"/>
          <w:sz w:val="20"/>
        </w:rPr>
        <w:t>次行政會議審議通過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September 12, 2013 Reviewed and passed by the 1</w:t>
      </w:r>
      <w:r w:rsidRPr="00C279FB">
        <w:rPr>
          <w:rFonts w:eastAsia="標楷體"/>
          <w:sz w:val="20"/>
          <w:vertAlign w:val="superscript"/>
        </w:rPr>
        <w:t>st</w:t>
      </w:r>
      <w:r w:rsidRPr="00C279FB">
        <w:rPr>
          <w:rFonts w:eastAsia="標楷體"/>
          <w:sz w:val="20"/>
        </w:rPr>
        <w:t xml:space="preserve"> Administrative Meeting of the Academic Year 2013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 xml:space="preserve">102.10.16  </w:t>
      </w:r>
      <w:r w:rsidRPr="00C279FB">
        <w:rPr>
          <w:rFonts w:eastAsia="標楷體"/>
          <w:sz w:val="20"/>
        </w:rPr>
        <w:t>高醫圖資字</w:t>
      </w:r>
      <w:r w:rsidRPr="00C279FB">
        <w:rPr>
          <w:rFonts w:eastAsia="標楷體"/>
          <w:sz w:val="20"/>
        </w:rPr>
        <w:t>1021103180</w:t>
      </w:r>
      <w:r w:rsidRPr="00C279FB">
        <w:rPr>
          <w:rFonts w:eastAsia="標楷體"/>
          <w:sz w:val="20"/>
        </w:rPr>
        <w:t>號函公布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October 16, 2013 Promulgated via the KMU official letter Tu Tzu Tzu No. 1021103180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>109.06.15  108</w:t>
      </w:r>
      <w:r w:rsidRPr="00C279FB">
        <w:rPr>
          <w:rFonts w:eastAsia="標楷體"/>
          <w:sz w:val="20"/>
        </w:rPr>
        <w:t>學年度第</w:t>
      </w:r>
      <w:r w:rsidRPr="00C279FB">
        <w:rPr>
          <w:rFonts w:eastAsia="標楷體"/>
          <w:sz w:val="20"/>
        </w:rPr>
        <w:t>3</w:t>
      </w:r>
      <w:r w:rsidRPr="00C279FB">
        <w:rPr>
          <w:rFonts w:eastAsia="標楷體"/>
          <w:sz w:val="20"/>
        </w:rPr>
        <w:t>次圖書館委員會會議通過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June 15, 2020 Passed by the 3</w:t>
      </w:r>
      <w:r w:rsidRPr="00C279FB">
        <w:rPr>
          <w:rFonts w:eastAsia="標楷體"/>
          <w:sz w:val="20"/>
          <w:vertAlign w:val="superscript"/>
        </w:rPr>
        <w:t>rd</w:t>
      </w:r>
      <w:r w:rsidRPr="00C279FB">
        <w:rPr>
          <w:rFonts w:eastAsia="標楷體"/>
          <w:sz w:val="20"/>
        </w:rPr>
        <w:t xml:space="preserve"> Library Committee Meeting of the Academic Year 2019</w:t>
      </w:r>
    </w:p>
    <w:p w:rsidR="006F03D6" w:rsidRPr="00C279FB" w:rsidRDefault="006F03D6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>109.08.13  109</w:t>
      </w:r>
      <w:r w:rsidRPr="00C279FB">
        <w:rPr>
          <w:rFonts w:eastAsia="標楷體"/>
          <w:sz w:val="20"/>
        </w:rPr>
        <w:t>學年度第</w:t>
      </w:r>
      <w:r w:rsidRPr="00C279FB">
        <w:rPr>
          <w:rFonts w:eastAsia="標楷體"/>
          <w:sz w:val="20"/>
        </w:rPr>
        <w:t>1</w:t>
      </w:r>
      <w:r w:rsidRPr="00C279FB">
        <w:rPr>
          <w:rFonts w:eastAsia="標楷體"/>
          <w:sz w:val="20"/>
        </w:rPr>
        <w:t>次行政會議通過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August 13, 2020 Passed by the 1</w:t>
      </w:r>
      <w:r w:rsidRPr="00C279FB">
        <w:rPr>
          <w:rFonts w:eastAsia="標楷體"/>
          <w:sz w:val="20"/>
          <w:vertAlign w:val="superscript"/>
        </w:rPr>
        <w:t>st</w:t>
      </w:r>
      <w:r w:rsidRPr="00C279FB">
        <w:rPr>
          <w:rFonts w:eastAsia="標楷體"/>
          <w:sz w:val="20"/>
        </w:rPr>
        <w:t xml:space="preserve"> Administrative Meeting of the Academic Year 2020</w:t>
      </w:r>
    </w:p>
    <w:p w:rsidR="00576159" w:rsidRPr="00C279FB" w:rsidRDefault="00576159" w:rsidP="006F03D6">
      <w:pPr>
        <w:spacing w:line="0" w:lineRule="atLeast"/>
        <w:ind w:firstLineChars="1984" w:firstLine="3968"/>
        <w:rPr>
          <w:rFonts w:eastAsia="標楷體"/>
          <w:sz w:val="20"/>
        </w:rPr>
      </w:pPr>
      <w:r w:rsidRPr="00C279FB">
        <w:rPr>
          <w:rFonts w:eastAsia="標楷體"/>
          <w:sz w:val="20"/>
        </w:rPr>
        <w:t xml:space="preserve">109.09.07  </w:t>
      </w:r>
      <w:r w:rsidRPr="00C279FB">
        <w:rPr>
          <w:rFonts w:eastAsia="標楷體"/>
          <w:sz w:val="20"/>
        </w:rPr>
        <w:t>高醫圖資字</w:t>
      </w:r>
      <w:r w:rsidRPr="00C279FB">
        <w:rPr>
          <w:rFonts w:eastAsia="標楷體"/>
          <w:sz w:val="20"/>
        </w:rPr>
        <w:t>1091102849</w:t>
      </w:r>
      <w:r w:rsidRPr="00C279FB">
        <w:rPr>
          <w:rFonts w:eastAsia="標楷體"/>
          <w:sz w:val="20"/>
        </w:rPr>
        <w:t>號函公布</w:t>
      </w:r>
    </w:p>
    <w:p w:rsidR="00C279FB" w:rsidRPr="00C279FB" w:rsidRDefault="00C279FB" w:rsidP="00C279FB">
      <w:pPr>
        <w:spacing w:line="0" w:lineRule="atLeast"/>
        <w:ind w:firstLineChars="1984" w:firstLine="3968"/>
        <w:jc w:val="right"/>
        <w:rPr>
          <w:rFonts w:eastAsia="標楷體"/>
          <w:sz w:val="20"/>
        </w:rPr>
      </w:pPr>
      <w:r w:rsidRPr="00C279FB">
        <w:rPr>
          <w:rFonts w:eastAsia="標楷體"/>
          <w:sz w:val="20"/>
        </w:rPr>
        <w:t>September 7, 2020 Promulgated via the KMU official letter Tu Tzu Tzu No. 1091102849</w:t>
      </w:r>
    </w:p>
    <w:p w:rsidR="00475D00" w:rsidRPr="00C279FB" w:rsidRDefault="00475D00" w:rsidP="00475D00">
      <w:pPr>
        <w:spacing w:line="200" w:lineRule="exact"/>
        <w:jc w:val="center"/>
        <w:rPr>
          <w:rFonts w:eastAsia="標楷體"/>
          <w:b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475D00" w:rsidRPr="004F5E98" w:rsidTr="009C5C2A">
        <w:tc>
          <w:tcPr>
            <w:tcW w:w="1134" w:type="dxa"/>
            <w:shd w:val="clear" w:color="auto" w:fill="auto"/>
          </w:tcPr>
          <w:p w:rsidR="00475D00" w:rsidRDefault="00475D00" w:rsidP="009C5C2A">
            <w:pPr>
              <w:rPr>
                <w:rFonts w:eastAsia="標楷體"/>
              </w:rPr>
            </w:pPr>
            <w:r w:rsidRPr="004F5E98">
              <w:rPr>
                <w:rFonts w:eastAsia="標楷體"/>
              </w:rPr>
              <w:t>第</w:t>
            </w:r>
            <w:r w:rsidRPr="004F5E98">
              <w:rPr>
                <w:rFonts w:eastAsia="標楷體"/>
                <w:u w:val="single"/>
              </w:rPr>
              <w:t>1</w:t>
            </w:r>
            <w:r w:rsidRPr="004F5E98">
              <w:rPr>
                <w:rFonts w:eastAsia="標楷體"/>
              </w:rPr>
              <w:t>條</w:t>
            </w:r>
          </w:p>
          <w:p w:rsidR="004F5E98" w:rsidRPr="004F5E98" w:rsidRDefault="004F5E98" w:rsidP="009C5C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Ar</w:t>
            </w:r>
            <w:r>
              <w:rPr>
                <w:rFonts w:eastAsia="標楷體"/>
              </w:rPr>
              <w:t xml:space="preserve">ticle </w:t>
            </w:r>
            <w:r w:rsidRPr="004F5E98">
              <w:rPr>
                <w:rFonts w:eastAsia="標楷體"/>
                <w:u w:val="single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75D00" w:rsidRDefault="00475D00" w:rsidP="00F24EE5">
            <w:pPr>
              <w:ind w:left="2"/>
              <w:jc w:val="both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</w:rPr>
              <w:t>本校圖書資訊處圖書館（以下簡稱本館）為保障讀者公平利用</w:t>
            </w:r>
            <w:r w:rsidRPr="004F5E98">
              <w:rPr>
                <w:rFonts w:eastAsia="標楷體"/>
                <w:u w:val="single"/>
              </w:rPr>
              <w:t>本館各項</w:t>
            </w:r>
            <w:r w:rsidRPr="004F5E98">
              <w:rPr>
                <w:rFonts w:eastAsia="標楷體"/>
              </w:rPr>
              <w:t>資源</w:t>
            </w:r>
            <w:r w:rsidRPr="004F5E98">
              <w:rPr>
                <w:rFonts w:eastAsia="標楷體"/>
                <w:u w:val="single"/>
              </w:rPr>
              <w:t>及設備</w:t>
            </w:r>
            <w:r w:rsidRPr="004F5E98">
              <w:rPr>
                <w:rFonts w:eastAsia="標楷體"/>
              </w:rPr>
              <w:t>，維護館內閱覽環境，依據本校圖書館閱覽規則第</w:t>
            </w:r>
            <w:r w:rsidRPr="004F5E98">
              <w:rPr>
                <w:rFonts w:eastAsia="標楷體"/>
                <w:u w:val="single"/>
              </w:rPr>
              <w:t>9</w:t>
            </w:r>
            <w:r w:rsidRPr="004F5E98">
              <w:rPr>
                <w:rFonts w:eastAsia="標楷體"/>
              </w:rPr>
              <w:t>條，</w:t>
            </w:r>
            <w:r w:rsidRPr="004F5E98">
              <w:rPr>
                <w:rFonts w:eastAsia="標楷體"/>
                <w:u w:val="single"/>
              </w:rPr>
              <w:t>訂定高雄醫學大學圖書館讀者違規處理辦法</w:t>
            </w:r>
            <w:r w:rsidRPr="004F5E98">
              <w:rPr>
                <w:rFonts w:eastAsia="標楷體"/>
                <w:u w:val="single"/>
              </w:rPr>
              <w:t>(</w:t>
            </w:r>
            <w:r w:rsidRPr="004F5E98">
              <w:rPr>
                <w:rFonts w:eastAsia="標楷體"/>
                <w:u w:val="single"/>
              </w:rPr>
              <w:t>以下簡稱本辦法</w:t>
            </w:r>
            <w:r w:rsidRPr="004F5E98">
              <w:rPr>
                <w:rFonts w:eastAsia="標楷體"/>
                <w:u w:val="single"/>
              </w:rPr>
              <w:t>)</w:t>
            </w:r>
            <w:r w:rsidRPr="004F5E98">
              <w:rPr>
                <w:rFonts w:eastAsia="標楷體"/>
                <w:u w:val="single"/>
              </w:rPr>
              <w:t>。</w:t>
            </w:r>
          </w:p>
          <w:p w:rsidR="004F5E98" w:rsidRPr="004F5E98" w:rsidRDefault="004F5E98" w:rsidP="00F24EE5">
            <w:pPr>
              <w:ind w:left="2"/>
              <w:jc w:val="both"/>
              <w:rPr>
                <w:rFonts w:eastAsia="標楷體"/>
              </w:rPr>
            </w:pPr>
            <w:r w:rsidRPr="004F5E98">
              <w:rPr>
                <w:rFonts w:eastAsia="標楷體"/>
              </w:rPr>
              <w:t>The Library of the Office of Lib</w:t>
            </w:r>
            <w:r w:rsidR="00626A54">
              <w:rPr>
                <w:rFonts w:eastAsia="標楷體"/>
              </w:rPr>
              <w:t>rary and Information Services (“the Library”</w:t>
            </w:r>
            <w:r w:rsidRPr="004F5E98">
              <w:rPr>
                <w:rFonts w:eastAsia="標楷體"/>
              </w:rPr>
              <w:t>) at Kaohsi</w:t>
            </w:r>
            <w:r w:rsidR="00626A54">
              <w:rPr>
                <w:rFonts w:eastAsia="標楷體"/>
              </w:rPr>
              <w:t>ung Medical University (KMU or “the University”</w:t>
            </w:r>
            <w:r w:rsidRPr="004F5E98">
              <w:rPr>
                <w:rFonts w:eastAsia="標楷體"/>
              </w:rPr>
              <w:t xml:space="preserve">) </w:t>
            </w:r>
            <w:r w:rsidRPr="00626A54">
              <w:rPr>
                <w:rFonts w:eastAsia="標楷體"/>
                <w:u w:val="single"/>
              </w:rPr>
              <w:t xml:space="preserve">formulates the KMU Regulations for Handling </w:t>
            </w:r>
            <w:r w:rsidR="00626A54" w:rsidRPr="00626A54">
              <w:rPr>
                <w:rFonts w:eastAsia="標楷體"/>
                <w:u w:val="single"/>
              </w:rPr>
              <w:t>Violations by Library Readers (“the Regulations”</w:t>
            </w:r>
            <w:r w:rsidRPr="00626A54">
              <w:rPr>
                <w:rFonts w:eastAsia="標楷體"/>
                <w:u w:val="single"/>
              </w:rPr>
              <w:t>)</w:t>
            </w:r>
            <w:r w:rsidRPr="004F5E98">
              <w:rPr>
                <w:rFonts w:eastAsia="標楷體"/>
              </w:rPr>
              <w:t xml:space="preserve"> in accordance with Article </w:t>
            </w:r>
            <w:r w:rsidRPr="00626A54">
              <w:rPr>
                <w:rFonts w:eastAsia="標楷體"/>
                <w:u w:val="single"/>
              </w:rPr>
              <w:t>9</w:t>
            </w:r>
            <w:r w:rsidRPr="004F5E98">
              <w:rPr>
                <w:rFonts w:eastAsia="標楷體"/>
              </w:rPr>
              <w:t xml:space="preserve"> of the KMU Library Reading Regulations to ensure </w:t>
            </w:r>
            <w:r w:rsidR="00B05042">
              <w:rPr>
                <w:rFonts w:eastAsia="標楷體" w:hint="eastAsia"/>
              </w:rPr>
              <w:t>f</w:t>
            </w:r>
            <w:r w:rsidR="00B05042">
              <w:rPr>
                <w:rFonts w:eastAsia="標楷體"/>
              </w:rPr>
              <w:t xml:space="preserve">air </w:t>
            </w:r>
            <w:r w:rsidRPr="004F5E98">
              <w:rPr>
                <w:rFonts w:eastAsia="標楷體"/>
              </w:rPr>
              <w:t xml:space="preserve">access to the </w:t>
            </w:r>
            <w:r w:rsidRPr="00626A54">
              <w:rPr>
                <w:rFonts w:eastAsia="標楷體"/>
                <w:u w:val="single"/>
              </w:rPr>
              <w:t>resources and equipment</w:t>
            </w:r>
            <w:r w:rsidRPr="004F5E98">
              <w:rPr>
                <w:rFonts w:eastAsia="標楷體"/>
              </w:rPr>
              <w:t xml:space="preserve"> of the Library and maintain the reading environment in the Library.</w:t>
            </w:r>
          </w:p>
        </w:tc>
      </w:tr>
      <w:tr w:rsidR="00475D00" w:rsidRPr="004F5E98" w:rsidTr="009C5C2A">
        <w:tc>
          <w:tcPr>
            <w:tcW w:w="1134" w:type="dxa"/>
            <w:shd w:val="clear" w:color="auto" w:fill="auto"/>
          </w:tcPr>
          <w:p w:rsidR="00475D00" w:rsidRDefault="00475D00" w:rsidP="009C5C2A">
            <w:pPr>
              <w:rPr>
                <w:rFonts w:eastAsia="標楷體"/>
              </w:rPr>
            </w:pPr>
            <w:r w:rsidRPr="004F5E98">
              <w:rPr>
                <w:rFonts w:eastAsia="標楷體"/>
              </w:rPr>
              <w:t>第</w:t>
            </w:r>
            <w:r w:rsidRPr="004F5E98">
              <w:rPr>
                <w:rFonts w:eastAsia="標楷體"/>
                <w:u w:val="single"/>
              </w:rPr>
              <w:t>2</w:t>
            </w:r>
            <w:r w:rsidRPr="004F5E98">
              <w:rPr>
                <w:rFonts w:eastAsia="標楷體"/>
              </w:rPr>
              <w:t>條</w:t>
            </w:r>
          </w:p>
          <w:p w:rsidR="00626A54" w:rsidRPr="004F5E98" w:rsidRDefault="00626A54" w:rsidP="009C5C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rticle </w:t>
            </w:r>
            <w:r w:rsidRPr="00626A54">
              <w:rPr>
                <w:rFonts w:eastAsia="標楷體"/>
                <w:u w:val="single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475D00" w:rsidRDefault="00475D00" w:rsidP="00F24EE5">
            <w:pPr>
              <w:ind w:left="2"/>
              <w:jc w:val="both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</w:rPr>
              <w:t>讀者應</w:t>
            </w:r>
            <w:r w:rsidRPr="004F5E98">
              <w:rPr>
                <w:rFonts w:eastAsia="標楷體"/>
                <w:u w:val="single"/>
              </w:rPr>
              <w:t>持</w:t>
            </w:r>
            <w:r w:rsidRPr="004F5E98">
              <w:rPr>
                <w:rFonts w:eastAsia="標楷體"/>
              </w:rPr>
              <w:t>本人有效證件入館，不得使用他人證件</w:t>
            </w:r>
            <w:r w:rsidRPr="004F5E98">
              <w:rPr>
                <w:rFonts w:eastAsia="標楷體"/>
                <w:u w:val="single"/>
              </w:rPr>
              <w:t>或</w:t>
            </w:r>
            <w:r w:rsidRPr="004F5E98">
              <w:rPr>
                <w:rFonts w:eastAsia="標楷體"/>
              </w:rPr>
              <w:t>出借證件供他人入館。如經發現，本館得保留該證件</w:t>
            </w:r>
            <w:r w:rsidRPr="004F5E98">
              <w:rPr>
                <w:rFonts w:eastAsia="標楷體"/>
                <w:u w:val="single"/>
              </w:rPr>
              <w:t>並</w:t>
            </w:r>
            <w:r w:rsidRPr="004F5E98">
              <w:rPr>
                <w:rFonts w:eastAsia="標楷體"/>
              </w:rPr>
              <w:t>通知原持證人領回，或送回發證單位。</w:t>
            </w:r>
            <w:r w:rsidRPr="004F5E98">
              <w:rPr>
                <w:rFonts w:eastAsia="標楷體"/>
                <w:u w:val="single"/>
              </w:rPr>
              <w:t>違規雙方停止入館及借書權利一個月。</w:t>
            </w:r>
          </w:p>
          <w:p w:rsidR="00626A54" w:rsidRPr="004F5E98" w:rsidRDefault="00474383" w:rsidP="00B05042">
            <w:pPr>
              <w:ind w:left="2"/>
              <w:jc w:val="both"/>
              <w:rPr>
                <w:rFonts w:eastAsia="標楷體"/>
              </w:rPr>
            </w:pPr>
            <w:r w:rsidRPr="00474383">
              <w:rPr>
                <w:rFonts w:eastAsia="標楷體"/>
              </w:rPr>
              <w:t>Readers shall use their own valid ID cards to access the L</w:t>
            </w:r>
            <w:r w:rsidR="00B05042">
              <w:rPr>
                <w:rFonts w:eastAsia="標楷體"/>
              </w:rPr>
              <w:t>ibrary and shall not use others’</w:t>
            </w:r>
            <w:r w:rsidRPr="00474383">
              <w:rPr>
                <w:rFonts w:eastAsia="標楷體"/>
              </w:rPr>
              <w:t xml:space="preserve"> ID cards or lend their own ID cards to others for Library access. If a violation is found, the Library will seize the ID cards </w:t>
            </w:r>
            <w:r w:rsidRPr="005A1E81">
              <w:rPr>
                <w:rFonts w:eastAsia="標楷體"/>
                <w:u w:val="single"/>
              </w:rPr>
              <w:t>and</w:t>
            </w:r>
            <w:r w:rsidRPr="00474383">
              <w:rPr>
                <w:rFonts w:eastAsia="標楷體"/>
              </w:rPr>
              <w:t xml:space="preserve"> inform the original owners to retrieve them or </w:t>
            </w:r>
            <w:r w:rsidRPr="00474383">
              <w:rPr>
                <w:rFonts w:eastAsia="標楷體"/>
              </w:rPr>
              <w:lastRenderedPageBreak/>
              <w:t xml:space="preserve">send the ID cards back to the issuing units. </w:t>
            </w:r>
            <w:r w:rsidRPr="005A1E81">
              <w:rPr>
                <w:rFonts w:eastAsia="標楷體"/>
                <w:u w:val="single"/>
              </w:rPr>
              <w:t xml:space="preserve">Both the lenders and borrowers of the ID cards will </w:t>
            </w:r>
            <w:r w:rsidR="00B05042">
              <w:rPr>
                <w:rFonts w:eastAsia="標楷體"/>
                <w:u w:val="single"/>
              </w:rPr>
              <w:t>have</w:t>
            </w:r>
            <w:r w:rsidRPr="005A1E81">
              <w:rPr>
                <w:rFonts w:eastAsia="標楷體"/>
                <w:u w:val="single"/>
              </w:rPr>
              <w:t xml:space="preserve"> their rights to access the Library and borrow books suspended for 1 month.</w:t>
            </w:r>
          </w:p>
        </w:tc>
      </w:tr>
      <w:tr w:rsidR="00475D00" w:rsidRPr="004F5E98" w:rsidTr="009C5C2A">
        <w:tc>
          <w:tcPr>
            <w:tcW w:w="1134" w:type="dxa"/>
            <w:shd w:val="clear" w:color="auto" w:fill="auto"/>
          </w:tcPr>
          <w:p w:rsidR="00475D00" w:rsidRDefault="00475D00" w:rsidP="009C5C2A">
            <w:pPr>
              <w:rPr>
                <w:rFonts w:eastAsia="標楷體"/>
              </w:rPr>
            </w:pPr>
            <w:r w:rsidRPr="004F5E98">
              <w:rPr>
                <w:rFonts w:eastAsia="標楷體"/>
              </w:rPr>
              <w:lastRenderedPageBreak/>
              <w:t>第</w:t>
            </w:r>
            <w:r w:rsidRPr="004F5E98">
              <w:rPr>
                <w:rFonts w:eastAsia="標楷體"/>
                <w:u w:val="single"/>
              </w:rPr>
              <w:t>3</w:t>
            </w:r>
            <w:r w:rsidRPr="004F5E98">
              <w:rPr>
                <w:rFonts w:eastAsia="標楷體"/>
              </w:rPr>
              <w:t>條</w:t>
            </w:r>
          </w:p>
          <w:p w:rsidR="005A1E81" w:rsidRPr="004F5E98" w:rsidRDefault="005A1E81" w:rsidP="009C5C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rticle </w:t>
            </w:r>
            <w:r w:rsidRPr="00FF0DF0">
              <w:rPr>
                <w:rFonts w:eastAsia="標楷體"/>
                <w:u w:val="single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475D00" w:rsidRDefault="00475D00" w:rsidP="00F24EE5">
            <w:pPr>
              <w:ind w:left="2"/>
              <w:jc w:val="both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讀者應遵守本館規定，違反以下事項經登記違規次數達二次</w:t>
            </w:r>
            <w:r w:rsidRPr="004F5E98">
              <w:rPr>
                <w:rFonts w:eastAsia="標楷體"/>
                <w:u w:val="single"/>
              </w:rPr>
              <w:t>(</w:t>
            </w:r>
            <w:r w:rsidRPr="004F5E98">
              <w:rPr>
                <w:rFonts w:eastAsia="標楷體"/>
                <w:u w:val="single"/>
              </w:rPr>
              <w:t>含</w:t>
            </w:r>
            <w:r w:rsidRPr="004F5E98">
              <w:rPr>
                <w:rFonts w:eastAsia="標楷體"/>
                <w:u w:val="single"/>
              </w:rPr>
              <w:t>)</w:t>
            </w:r>
            <w:r w:rsidRPr="004F5E98">
              <w:rPr>
                <w:rFonts w:eastAsia="標楷體"/>
                <w:u w:val="single"/>
              </w:rPr>
              <w:t>者，本校及附屬機構讀者停止入館與借書權利三個月；校外人士停止入館六個月。</w:t>
            </w:r>
          </w:p>
          <w:p w:rsidR="005A1E81" w:rsidRPr="00C52CFB" w:rsidRDefault="00C52CFB" w:rsidP="00F24EE5">
            <w:pPr>
              <w:ind w:left="2"/>
              <w:jc w:val="both"/>
              <w:rPr>
                <w:rFonts w:eastAsia="標楷體"/>
                <w:u w:val="single"/>
              </w:rPr>
            </w:pPr>
            <w:r w:rsidRPr="00C52CFB">
              <w:rPr>
                <w:rFonts w:eastAsia="標楷體"/>
                <w:u w:val="single"/>
              </w:rPr>
              <w:t xml:space="preserve">Readers shall comply with the regulations of the Library. For an accumulation of 2 or more recorded violations of the following matters, readers from the University and </w:t>
            </w:r>
            <w:r w:rsidR="00945A85">
              <w:rPr>
                <w:rFonts w:eastAsia="標楷體"/>
                <w:u w:val="single"/>
              </w:rPr>
              <w:t>its</w:t>
            </w:r>
            <w:r w:rsidRPr="00C52CFB">
              <w:rPr>
                <w:rFonts w:eastAsia="標楷體"/>
                <w:u w:val="single"/>
              </w:rPr>
              <w:t xml:space="preserve"> affiliated agencies will </w:t>
            </w:r>
            <w:r w:rsidR="00B05042">
              <w:rPr>
                <w:rFonts w:eastAsia="標楷體"/>
                <w:u w:val="single"/>
              </w:rPr>
              <w:t>have</w:t>
            </w:r>
            <w:r w:rsidRPr="00C52CFB">
              <w:rPr>
                <w:rFonts w:eastAsia="標楷體"/>
                <w:u w:val="single"/>
              </w:rPr>
              <w:t xml:space="preserve"> their rights to access the Library and borrow books suspended for 3 months, while visitors will </w:t>
            </w:r>
            <w:r w:rsidR="00B05042">
              <w:rPr>
                <w:rFonts w:eastAsia="標楷體"/>
                <w:u w:val="single"/>
              </w:rPr>
              <w:t>have</w:t>
            </w:r>
            <w:r w:rsidRPr="00C52CFB">
              <w:rPr>
                <w:rFonts w:eastAsia="標楷體"/>
                <w:u w:val="single"/>
              </w:rPr>
              <w:t xml:space="preserve"> these rights suspended for 6 months.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擅入非開放空間。</w:t>
            </w:r>
          </w:p>
          <w:p w:rsidR="00C52CFB" w:rsidRPr="00C52CFB" w:rsidRDefault="00C52CFB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C52CFB">
              <w:rPr>
                <w:rFonts w:eastAsia="標楷體"/>
                <w:u w:val="single"/>
              </w:rPr>
              <w:t>Entering spaces designated for authorized personnel only.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以個人物品預佔座位。</w:t>
            </w:r>
          </w:p>
          <w:p w:rsidR="002D612F" w:rsidRPr="004F5E98" w:rsidRDefault="002D612F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2D612F">
              <w:rPr>
                <w:rFonts w:eastAsia="標楷體"/>
                <w:u w:val="single"/>
              </w:rPr>
              <w:t>Occupying seating with personal belongings.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閉館時間不當逗留館內。</w:t>
            </w:r>
          </w:p>
          <w:p w:rsidR="002D612F" w:rsidRPr="004F5E98" w:rsidRDefault="002D612F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2D612F">
              <w:rPr>
                <w:rFonts w:eastAsia="標楷體"/>
                <w:u w:val="single"/>
              </w:rPr>
              <w:t>Staying in the Library during closing hours without a legitimate reason.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吸煙、喧嘩、飲食</w:t>
            </w:r>
            <w:r w:rsidRPr="004F5E98">
              <w:rPr>
                <w:rFonts w:eastAsia="標楷體"/>
                <w:u w:val="single"/>
              </w:rPr>
              <w:t>(</w:t>
            </w:r>
            <w:r w:rsidRPr="004F5E98">
              <w:rPr>
                <w:rFonts w:eastAsia="標楷體"/>
                <w:u w:val="single"/>
              </w:rPr>
              <w:t>輕食區除外</w:t>
            </w:r>
            <w:r w:rsidRPr="004F5E98">
              <w:rPr>
                <w:rFonts w:eastAsia="標楷體"/>
                <w:u w:val="single"/>
              </w:rPr>
              <w:t>)</w:t>
            </w:r>
            <w:r w:rsidRPr="004F5E98">
              <w:rPr>
                <w:rFonts w:eastAsia="標楷體"/>
                <w:u w:val="single"/>
              </w:rPr>
              <w:t>。</w:t>
            </w:r>
          </w:p>
          <w:p w:rsidR="002D612F" w:rsidRPr="002D612F" w:rsidRDefault="002D612F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2D612F">
              <w:rPr>
                <w:rFonts w:eastAsia="標楷體"/>
                <w:u w:val="single"/>
              </w:rPr>
              <w:t>Smoking, m</w:t>
            </w:r>
            <w:r w:rsidR="00B05042">
              <w:rPr>
                <w:rFonts w:eastAsia="標楷體"/>
                <w:u w:val="single"/>
              </w:rPr>
              <w:t>aking loud noises, and eating and</w:t>
            </w:r>
            <w:r w:rsidRPr="002D612F">
              <w:rPr>
                <w:rFonts w:eastAsia="標楷體"/>
                <w:u w:val="single"/>
              </w:rPr>
              <w:t xml:space="preserve"> drinking (except in the light refreshment area) in the Library.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影響閱覽空間整潔及環境衛生行為。</w:t>
            </w:r>
          </w:p>
          <w:p w:rsidR="002D612F" w:rsidRPr="004F5E98" w:rsidRDefault="00705891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705891">
              <w:rPr>
                <w:rFonts w:eastAsia="標楷體"/>
                <w:u w:val="single"/>
              </w:rPr>
              <w:t>Engaging in behaviors that affect the tidiness and hygiene of the reading space.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服裝儀容不整或其他有礙觀瞻行為</w:t>
            </w:r>
            <w:r w:rsidRPr="004F5E98">
              <w:rPr>
                <w:rFonts w:eastAsia="標楷體"/>
                <w:u w:val="single"/>
              </w:rPr>
              <w:t>(</w:t>
            </w:r>
            <w:r w:rsidRPr="004F5E98">
              <w:rPr>
                <w:rFonts w:eastAsia="標楷體"/>
                <w:u w:val="single"/>
              </w:rPr>
              <w:t>如脫鞋、臥睡等</w:t>
            </w:r>
            <w:r w:rsidRPr="004F5E98">
              <w:rPr>
                <w:rFonts w:eastAsia="標楷體"/>
                <w:u w:val="single"/>
              </w:rPr>
              <w:t>)</w:t>
            </w:r>
            <w:r w:rsidRPr="004F5E98">
              <w:rPr>
                <w:rFonts w:eastAsia="標楷體"/>
                <w:u w:val="single"/>
              </w:rPr>
              <w:t>。</w:t>
            </w:r>
          </w:p>
          <w:p w:rsidR="00705891" w:rsidRPr="004F5E98" w:rsidRDefault="0062202B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62202B">
              <w:rPr>
                <w:rFonts w:eastAsia="標楷體"/>
                <w:u w:val="single"/>
              </w:rPr>
              <w:t>Dressing inappropriately or engaging in inappropriate behaviors (such as taking off shoes or lying down to sleep).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帳號借予他人或冒用他人帳號使用電子資源。</w:t>
            </w:r>
          </w:p>
          <w:p w:rsidR="0062202B" w:rsidRPr="004F5E98" w:rsidRDefault="002A5C71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Lending one’</w:t>
            </w:r>
            <w:r w:rsidR="00FC0FAB" w:rsidRPr="00FC0FAB">
              <w:rPr>
                <w:rFonts w:eastAsia="標楷體"/>
                <w:u w:val="single"/>
              </w:rPr>
              <w:t>s own account to another</w:t>
            </w:r>
            <w:r>
              <w:rPr>
                <w:rFonts w:eastAsia="標楷體"/>
                <w:u w:val="single"/>
              </w:rPr>
              <w:t xml:space="preserve"> person or using another person’</w:t>
            </w:r>
            <w:r w:rsidR="00FC0FAB" w:rsidRPr="00FC0FAB">
              <w:rPr>
                <w:rFonts w:eastAsia="標楷體"/>
                <w:u w:val="single"/>
              </w:rPr>
              <w:t>s account to access electronic resources.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使用本館設備且未遵守著作權法相關規定。</w:t>
            </w:r>
          </w:p>
          <w:p w:rsidR="002A5C71" w:rsidRPr="004F5E98" w:rsidRDefault="002A5C71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2A5C71">
              <w:rPr>
                <w:rFonts w:eastAsia="標楷體"/>
                <w:u w:val="single"/>
              </w:rPr>
              <w:t>Violating regulations related to the Copyright Act when using the equipment in the Library.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使用本館公用電腦連結色情網站、電腦遊戲或擅改電腦設定。</w:t>
            </w:r>
          </w:p>
          <w:p w:rsidR="002A5C71" w:rsidRPr="004F5E98" w:rsidRDefault="00A76632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A76632">
              <w:rPr>
                <w:rFonts w:eastAsia="標楷體"/>
                <w:u w:val="single"/>
              </w:rPr>
              <w:t>Visiting pornographic websites, playing computer games, or altering computer settings when using the public computers in the Library.</w:t>
            </w:r>
          </w:p>
          <w:p w:rsidR="00475D00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未經借閱手續將本館館藏資料或設備攜出。</w:t>
            </w:r>
          </w:p>
          <w:p w:rsidR="00A76632" w:rsidRPr="004F5E98" w:rsidRDefault="004A3876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4A3876">
              <w:rPr>
                <w:rFonts w:eastAsia="標楷體"/>
                <w:u w:val="single"/>
              </w:rPr>
              <w:t>Taking Library materials or equipment out without completing the borrowing process.</w:t>
            </w:r>
          </w:p>
          <w:p w:rsidR="00475D00" w:rsidRPr="004A3876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違規不聽勸阻且態度惡劣者</w:t>
            </w:r>
            <w:r w:rsidRPr="004F5E98">
              <w:rPr>
                <w:rFonts w:eastAsia="標楷體"/>
              </w:rPr>
              <w:t>。</w:t>
            </w:r>
          </w:p>
          <w:p w:rsidR="004A3876" w:rsidRPr="004F5E98" w:rsidRDefault="00FF0DF0" w:rsidP="00FF0DF0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461"/>
              <w:jc w:val="both"/>
              <w:textAlignment w:val="auto"/>
              <w:rPr>
                <w:rFonts w:eastAsia="標楷體"/>
                <w:u w:val="single"/>
              </w:rPr>
            </w:pPr>
            <w:r w:rsidRPr="00FF0DF0">
              <w:rPr>
                <w:rFonts w:eastAsia="標楷體"/>
                <w:u w:val="single"/>
              </w:rPr>
              <w:t>Engaging in violations while disregarding dissuasion and displaying a poor attitude.</w:t>
            </w:r>
          </w:p>
        </w:tc>
      </w:tr>
      <w:tr w:rsidR="00475D00" w:rsidRPr="004F5E98" w:rsidTr="009C5C2A">
        <w:tc>
          <w:tcPr>
            <w:tcW w:w="1134" w:type="dxa"/>
            <w:shd w:val="clear" w:color="auto" w:fill="auto"/>
          </w:tcPr>
          <w:p w:rsidR="00475D00" w:rsidRDefault="00475D00" w:rsidP="009C5C2A">
            <w:pPr>
              <w:rPr>
                <w:rFonts w:eastAsia="標楷體"/>
              </w:rPr>
            </w:pPr>
            <w:r w:rsidRPr="004F5E98">
              <w:rPr>
                <w:rFonts w:eastAsia="標楷體"/>
              </w:rPr>
              <w:t>第</w:t>
            </w:r>
            <w:r w:rsidRPr="004F5E98">
              <w:rPr>
                <w:rFonts w:eastAsia="標楷體"/>
                <w:u w:val="single"/>
              </w:rPr>
              <w:t>4</w:t>
            </w:r>
            <w:r w:rsidRPr="004F5E98">
              <w:rPr>
                <w:rFonts w:eastAsia="標楷體"/>
              </w:rPr>
              <w:t>條</w:t>
            </w:r>
          </w:p>
          <w:p w:rsidR="00FF0DF0" w:rsidRPr="004F5E98" w:rsidRDefault="00FF0DF0" w:rsidP="009C5C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rticle </w:t>
            </w:r>
            <w:r w:rsidRPr="00FF0DF0">
              <w:rPr>
                <w:rFonts w:eastAsia="標楷體"/>
                <w:u w:val="single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475D00" w:rsidRDefault="00475D00" w:rsidP="00F24EE5">
            <w:pPr>
              <w:ind w:left="2"/>
              <w:jc w:val="both"/>
              <w:rPr>
                <w:rFonts w:eastAsia="標楷體"/>
                <w:u w:val="single"/>
              </w:rPr>
            </w:pPr>
            <w:r w:rsidRPr="004F5E98">
              <w:rPr>
                <w:rFonts w:eastAsia="標楷體"/>
                <w:u w:val="single"/>
              </w:rPr>
              <w:t>違反本辦法規定事項情節重大者，包含冒用證件、偷竊、猥褻、性騷擾或其他妨害風化行為、蓄意毀損公物及其他經本館認定重大違規行為，本校及附屬機構讀者移送本校相關單位處理，並停止入館與借書權利六個月；校外人士則通知駐校</w:t>
            </w:r>
            <w:r w:rsidRPr="004F5E98">
              <w:rPr>
                <w:rFonts w:eastAsia="標楷體"/>
                <w:u w:val="single"/>
              </w:rPr>
              <w:lastRenderedPageBreak/>
              <w:t>警衛隊處理，並永久停止入館。</w:t>
            </w:r>
          </w:p>
          <w:p w:rsidR="00FF0DF0" w:rsidRPr="00945A85" w:rsidRDefault="00945A85" w:rsidP="00B05042">
            <w:pPr>
              <w:ind w:left="2"/>
              <w:jc w:val="both"/>
              <w:rPr>
                <w:rFonts w:eastAsia="標楷體"/>
                <w:u w:val="single"/>
              </w:rPr>
            </w:pPr>
            <w:r w:rsidRPr="00945A85">
              <w:rPr>
                <w:rFonts w:eastAsia="標楷體"/>
                <w:u w:val="single"/>
              </w:rPr>
              <w:t>For severe violations of the Regu</w:t>
            </w:r>
            <w:r>
              <w:rPr>
                <w:rFonts w:eastAsia="標楷體"/>
                <w:u w:val="single"/>
              </w:rPr>
              <w:t>lations, including using others’</w:t>
            </w:r>
            <w:r w:rsidRPr="00945A85">
              <w:rPr>
                <w:rFonts w:eastAsia="標楷體"/>
                <w:u w:val="single"/>
              </w:rPr>
              <w:t xml:space="preserve"> identification documents; stealing; engaging in obscenity, sexual harassment or behaviors that impair moral decency; vandalizing public property; and engaging in other violations deemed severe by the Library, readers from the University and its affiliated agencies will be referred to the relevant University units and will </w:t>
            </w:r>
            <w:r w:rsidR="00B05042">
              <w:rPr>
                <w:rFonts w:eastAsia="標楷體"/>
                <w:u w:val="single"/>
              </w:rPr>
              <w:t>have</w:t>
            </w:r>
            <w:r w:rsidRPr="00945A85">
              <w:rPr>
                <w:rFonts w:eastAsia="標楷體"/>
                <w:u w:val="single"/>
              </w:rPr>
              <w:t xml:space="preserve"> their rights to access the Library and borrow books suspended for 6 months. Visitors will be referred to the campus security forces and will be permanently prohibited from accessing the Library.</w:t>
            </w:r>
          </w:p>
        </w:tc>
      </w:tr>
      <w:tr w:rsidR="00475D00" w:rsidRPr="004F5E98" w:rsidTr="009C5C2A">
        <w:tc>
          <w:tcPr>
            <w:tcW w:w="1134" w:type="dxa"/>
            <w:shd w:val="clear" w:color="auto" w:fill="auto"/>
          </w:tcPr>
          <w:p w:rsidR="00475D00" w:rsidRDefault="00475D00" w:rsidP="009C5C2A">
            <w:pPr>
              <w:rPr>
                <w:rFonts w:eastAsia="標楷體"/>
              </w:rPr>
            </w:pPr>
            <w:r w:rsidRPr="004F5E98">
              <w:rPr>
                <w:rFonts w:eastAsia="標楷體"/>
              </w:rPr>
              <w:lastRenderedPageBreak/>
              <w:t>第</w:t>
            </w:r>
            <w:r w:rsidRPr="004F5E98">
              <w:rPr>
                <w:rFonts w:eastAsia="標楷體"/>
                <w:u w:val="single"/>
              </w:rPr>
              <w:t>5</w:t>
            </w:r>
            <w:r w:rsidRPr="004F5E98">
              <w:rPr>
                <w:rFonts w:eastAsia="標楷體"/>
              </w:rPr>
              <w:t>條</w:t>
            </w:r>
          </w:p>
          <w:p w:rsidR="00945A85" w:rsidRPr="004F5E98" w:rsidRDefault="00945A85" w:rsidP="009C5C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rticle 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75D00" w:rsidRDefault="00475D00" w:rsidP="00F24EE5">
            <w:pPr>
              <w:ind w:left="2"/>
              <w:jc w:val="both"/>
              <w:rPr>
                <w:rFonts w:eastAsia="標楷體"/>
              </w:rPr>
            </w:pPr>
            <w:r w:rsidRPr="004F5E98">
              <w:rPr>
                <w:rFonts w:eastAsia="標楷體"/>
              </w:rPr>
              <w:t>本辦法經</w:t>
            </w:r>
            <w:r w:rsidRPr="004F5E98">
              <w:rPr>
                <w:rFonts w:eastAsia="標楷體"/>
                <w:u w:val="single"/>
              </w:rPr>
              <w:t>圖書館委員會、</w:t>
            </w:r>
            <w:r w:rsidRPr="004F5E98">
              <w:rPr>
                <w:rFonts w:eastAsia="標楷體"/>
              </w:rPr>
              <w:t>行政會議</w:t>
            </w:r>
            <w:r w:rsidRPr="004F5E98">
              <w:rPr>
                <w:rFonts w:eastAsia="標楷體"/>
                <w:u w:val="single"/>
              </w:rPr>
              <w:t>審議</w:t>
            </w:r>
            <w:r w:rsidRPr="004F5E98">
              <w:rPr>
                <w:rFonts w:eastAsia="標楷體"/>
              </w:rPr>
              <w:t>通過後，自公布日起實施，修正時亦同。</w:t>
            </w:r>
          </w:p>
          <w:p w:rsidR="00945A85" w:rsidRPr="004F5E98" w:rsidRDefault="00980D9C" w:rsidP="00F24EE5">
            <w:pPr>
              <w:ind w:left="2"/>
              <w:jc w:val="both"/>
              <w:rPr>
                <w:rFonts w:eastAsia="標楷體"/>
              </w:rPr>
            </w:pPr>
            <w:r w:rsidRPr="00980D9C">
              <w:rPr>
                <w:rFonts w:eastAsia="標楷體"/>
              </w:rPr>
              <w:t xml:space="preserve">The Regulations shall be </w:t>
            </w:r>
            <w:r w:rsidRPr="00980D9C">
              <w:rPr>
                <w:rFonts w:eastAsia="標楷體"/>
                <w:u w:val="single"/>
              </w:rPr>
              <w:t xml:space="preserve">passed by </w:t>
            </w:r>
            <w:r w:rsidRPr="00980D9C">
              <w:rPr>
                <w:rFonts w:eastAsia="標楷體"/>
              </w:rPr>
              <w:t xml:space="preserve">the </w:t>
            </w:r>
            <w:r w:rsidRPr="00980D9C">
              <w:rPr>
                <w:rFonts w:eastAsia="標楷體"/>
                <w:u w:val="single"/>
              </w:rPr>
              <w:t>Library Committee Meeting</w:t>
            </w:r>
            <w:r w:rsidRPr="00980D9C">
              <w:rPr>
                <w:rFonts w:eastAsia="標楷體"/>
              </w:rPr>
              <w:t xml:space="preserve"> and Administrative Meeting and then implemented on the date of promulgation and shall apply to subsequent amendments.</w:t>
            </w:r>
          </w:p>
        </w:tc>
      </w:tr>
    </w:tbl>
    <w:p w:rsidR="00475D00" w:rsidRPr="004F5E98" w:rsidRDefault="00475D00" w:rsidP="00475D00">
      <w:pPr>
        <w:rPr>
          <w:rFonts w:eastAsia="標楷體"/>
        </w:rPr>
      </w:pPr>
    </w:p>
    <w:p w:rsidR="007E68D8" w:rsidRPr="004F5E98" w:rsidRDefault="007E68D8" w:rsidP="007E68D8"/>
    <w:p w:rsidR="00576159" w:rsidRPr="004F5E98" w:rsidRDefault="00576159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20"/>
        </w:rPr>
      </w:pPr>
    </w:p>
    <w:sectPr w:rsidR="00576159" w:rsidRPr="004F5E98" w:rsidSect="000455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B8" w:rsidRDefault="007B4BB8" w:rsidP="00B76C42">
      <w:pPr>
        <w:spacing w:line="240" w:lineRule="auto"/>
      </w:pPr>
      <w:r>
        <w:separator/>
      </w:r>
    </w:p>
  </w:endnote>
  <w:endnote w:type="continuationSeparator" w:id="0">
    <w:p w:rsidR="007B4BB8" w:rsidRDefault="007B4BB8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charset w:val="88"/>
    <w:family w:val="script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B8" w:rsidRDefault="007B4BB8" w:rsidP="00B76C42">
      <w:pPr>
        <w:spacing w:line="240" w:lineRule="auto"/>
      </w:pPr>
      <w:r>
        <w:separator/>
      </w:r>
    </w:p>
  </w:footnote>
  <w:footnote w:type="continuationSeparator" w:id="0">
    <w:p w:rsidR="007B4BB8" w:rsidRDefault="007B4BB8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B61"/>
    <w:multiLevelType w:val="hybridMultilevel"/>
    <w:tmpl w:val="8C946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4864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F94129"/>
    <w:multiLevelType w:val="hybridMultilevel"/>
    <w:tmpl w:val="0E567684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81069"/>
    <w:multiLevelType w:val="hybridMultilevel"/>
    <w:tmpl w:val="6896C12A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90795"/>
    <w:multiLevelType w:val="hybridMultilevel"/>
    <w:tmpl w:val="789ED688"/>
    <w:lvl w:ilvl="0" w:tplc="7F22D1B6">
      <w:start w:val="1"/>
      <w:numFmt w:val="taiwaneseCountingThousand"/>
      <w:lvlText w:val="%1、"/>
      <w:lvlJc w:val="left"/>
      <w:pPr>
        <w:ind w:left="48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0221B06"/>
    <w:multiLevelType w:val="hybridMultilevel"/>
    <w:tmpl w:val="C8F287BA"/>
    <w:lvl w:ilvl="0" w:tplc="7F22D1B6">
      <w:start w:val="1"/>
      <w:numFmt w:val="taiwaneseCountingThousand"/>
      <w:lvlText w:val="%1、"/>
      <w:lvlJc w:val="left"/>
      <w:pPr>
        <w:ind w:left="48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1151260"/>
    <w:multiLevelType w:val="hybridMultilevel"/>
    <w:tmpl w:val="5CBAB3C4"/>
    <w:lvl w:ilvl="0" w:tplc="A9BC0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6C86"/>
    <w:multiLevelType w:val="hybridMultilevel"/>
    <w:tmpl w:val="CB3E8726"/>
    <w:lvl w:ilvl="0" w:tplc="D88611D0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E16E7F"/>
    <w:multiLevelType w:val="hybridMultilevel"/>
    <w:tmpl w:val="E2E64F7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C8EDA0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AC7937"/>
    <w:multiLevelType w:val="hybridMultilevel"/>
    <w:tmpl w:val="853A906C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DEB2ABF"/>
    <w:multiLevelType w:val="hybridMultilevel"/>
    <w:tmpl w:val="5510D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15FBE"/>
    <w:multiLevelType w:val="hybridMultilevel"/>
    <w:tmpl w:val="5DAA9BC8"/>
    <w:lvl w:ilvl="0" w:tplc="6CCC4C4C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 w15:restartNumberingAfterBreak="0">
    <w:nsid w:val="526107A3"/>
    <w:multiLevelType w:val="hybridMultilevel"/>
    <w:tmpl w:val="BBF2DA7E"/>
    <w:lvl w:ilvl="0" w:tplc="15942F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536D4F06"/>
    <w:multiLevelType w:val="hybridMultilevel"/>
    <w:tmpl w:val="293EBC88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4498DDF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DBCCB59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A63C5B"/>
    <w:multiLevelType w:val="hybridMultilevel"/>
    <w:tmpl w:val="326A9D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5B0277"/>
    <w:multiLevelType w:val="hybridMultilevel"/>
    <w:tmpl w:val="E13C53EA"/>
    <w:lvl w:ilvl="0" w:tplc="40C4F1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76062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5E33D1"/>
    <w:multiLevelType w:val="hybridMultilevel"/>
    <w:tmpl w:val="2AECED32"/>
    <w:lvl w:ilvl="0" w:tplc="110084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7E0A3A"/>
    <w:multiLevelType w:val="hybridMultilevel"/>
    <w:tmpl w:val="CEA65316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6C7A52"/>
    <w:multiLevelType w:val="hybridMultilevel"/>
    <w:tmpl w:val="74E8513E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B63FCE"/>
    <w:multiLevelType w:val="hybridMultilevel"/>
    <w:tmpl w:val="14CE76DC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0"/>
  </w:num>
  <w:num w:numId="5">
    <w:abstractNumId w:val="8"/>
  </w:num>
  <w:num w:numId="6">
    <w:abstractNumId w:val="19"/>
  </w:num>
  <w:num w:numId="7">
    <w:abstractNumId w:val="0"/>
  </w:num>
  <w:num w:numId="8">
    <w:abstractNumId w:val="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21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22"/>
  </w:num>
  <w:num w:numId="20">
    <w:abstractNumId w:val="2"/>
  </w:num>
  <w:num w:numId="21">
    <w:abstractNumId w:val="3"/>
  </w:num>
  <w:num w:numId="22">
    <w:abstractNumId w:val="24"/>
  </w:num>
  <w:num w:numId="23">
    <w:abstractNumId w:val="11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45594"/>
    <w:rsid w:val="000543E7"/>
    <w:rsid w:val="00054637"/>
    <w:rsid w:val="00074FC0"/>
    <w:rsid w:val="000D7EF8"/>
    <w:rsid w:val="001141C6"/>
    <w:rsid w:val="00140257"/>
    <w:rsid w:val="00154205"/>
    <w:rsid w:val="00174CB7"/>
    <w:rsid w:val="001B2C57"/>
    <w:rsid w:val="001C0140"/>
    <w:rsid w:val="001C7DB0"/>
    <w:rsid w:val="001D1491"/>
    <w:rsid w:val="001F4D1E"/>
    <w:rsid w:val="001F6523"/>
    <w:rsid w:val="002146CD"/>
    <w:rsid w:val="002266E6"/>
    <w:rsid w:val="00232842"/>
    <w:rsid w:val="00240B75"/>
    <w:rsid w:val="002701D3"/>
    <w:rsid w:val="00277994"/>
    <w:rsid w:val="00287610"/>
    <w:rsid w:val="002A06AD"/>
    <w:rsid w:val="002A5C71"/>
    <w:rsid w:val="002B2A08"/>
    <w:rsid w:val="002C5192"/>
    <w:rsid w:val="002D52C0"/>
    <w:rsid w:val="002D612F"/>
    <w:rsid w:val="00320F40"/>
    <w:rsid w:val="003533D9"/>
    <w:rsid w:val="003537F4"/>
    <w:rsid w:val="00377005"/>
    <w:rsid w:val="00380FBE"/>
    <w:rsid w:val="003876E2"/>
    <w:rsid w:val="003A3BDB"/>
    <w:rsid w:val="003B3CA7"/>
    <w:rsid w:val="003E7659"/>
    <w:rsid w:val="004301DB"/>
    <w:rsid w:val="00452F13"/>
    <w:rsid w:val="00463B2F"/>
    <w:rsid w:val="00473E07"/>
    <w:rsid w:val="00474383"/>
    <w:rsid w:val="00475D00"/>
    <w:rsid w:val="00483DCF"/>
    <w:rsid w:val="004A3876"/>
    <w:rsid w:val="004D0F5F"/>
    <w:rsid w:val="004F5E98"/>
    <w:rsid w:val="005028D8"/>
    <w:rsid w:val="00543006"/>
    <w:rsid w:val="00544CEF"/>
    <w:rsid w:val="0054563C"/>
    <w:rsid w:val="005627E2"/>
    <w:rsid w:val="00567D93"/>
    <w:rsid w:val="00570A2A"/>
    <w:rsid w:val="00576159"/>
    <w:rsid w:val="005932C8"/>
    <w:rsid w:val="005954E1"/>
    <w:rsid w:val="005A1E81"/>
    <w:rsid w:val="005B3745"/>
    <w:rsid w:val="005C282D"/>
    <w:rsid w:val="005E4329"/>
    <w:rsid w:val="005E6DA6"/>
    <w:rsid w:val="005F4AAC"/>
    <w:rsid w:val="005F55B8"/>
    <w:rsid w:val="00620C5A"/>
    <w:rsid w:val="0062202B"/>
    <w:rsid w:val="00626A54"/>
    <w:rsid w:val="00634982"/>
    <w:rsid w:val="00640FB7"/>
    <w:rsid w:val="00676970"/>
    <w:rsid w:val="00691A20"/>
    <w:rsid w:val="006B2DDB"/>
    <w:rsid w:val="006C6E7D"/>
    <w:rsid w:val="006E4907"/>
    <w:rsid w:val="006F03D6"/>
    <w:rsid w:val="006F241E"/>
    <w:rsid w:val="006F592A"/>
    <w:rsid w:val="00705891"/>
    <w:rsid w:val="00715452"/>
    <w:rsid w:val="00721E48"/>
    <w:rsid w:val="0072728D"/>
    <w:rsid w:val="0073783E"/>
    <w:rsid w:val="00797B28"/>
    <w:rsid w:val="007B4BB8"/>
    <w:rsid w:val="007B74D6"/>
    <w:rsid w:val="007B7C24"/>
    <w:rsid w:val="007C0A45"/>
    <w:rsid w:val="007C7575"/>
    <w:rsid w:val="007D7627"/>
    <w:rsid w:val="007E68D8"/>
    <w:rsid w:val="007F345E"/>
    <w:rsid w:val="0080342D"/>
    <w:rsid w:val="00823445"/>
    <w:rsid w:val="00824F87"/>
    <w:rsid w:val="00831CEA"/>
    <w:rsid w:val="008610F5"/>
    <w:rsid w:val="008773AC"/>
    <w:rsid w:val="008B4746"/>
    <w:rsid w:val="008C5285"/>
    <w:rsid w:val="008F15A0"/>
    <w:rsid w:val="008F3671"/>
    <w:rsid w:val="0090470E"/>
    <w:rsid w:val="009048CF"/>
    <w:rsid w:val="00907036"/>
    <w:rsid w:val="00940C50"/>
    <w:rsid w:val="00945A85"/>
    <w:rsid w:val="0096447A"/>
    <w:rsid w:val="00976590"/>
    <w:rsid w:val="00980D9C"/>
    <w:rsid w:val="00995BC0"/>
    <w:rsid w:val="009C5C2A"/>
    <w:rsid w:val="009C6F7E"/>
    <w:rsid w:val="00A05ECE"/>
    <w:rsid w:val="00A07BBD"/>
    <w:rsid w:val="00A46215"/>
    <w:rsid w:val="00A511AC"/>
    <w:rsid w:val="00A57434"/>
    <w:rsid w:val="00A6699F"/>
    <w:rsid w:val="00A76632"/>
    <w:rsid w:val="00A85FFD"/>
    <w:rsid w:val="00AE2C86"/>
    <w:rsid w:val="00AF5267"/>
    <w:rsid w:val="00AF65B1"/>
    <w:rsid w:val="00B05042"/>
    <w:rsid w:val="00B11FEF"/>
    <w:rsid w:val="00B22642"/>
    <w:rsid w:val="00B545AC"/>
    <w:rsid w:val="00B61D53"/>
    <w:rsid w:val="00B76C42"/>
    <w:rsid w:val="00BA1DAD"/>
    <w:rsid w:val="00BA5641"/>
    <w:rsid w:val="00BC1317"/>
    <w:rsid w:val="00BC6823"/>
    <w:rsid w:val="00BF1207"/>
    <w:rsid w:val="00BF5856"/>
    <w:rsid w:val="00C21045"/>
    <w:rsid w:val="00C279FB"/>
    <w:rsid w:val="00C52CFB"/>
    <w:rsid w:val="00C73F61"/>
    <w:rsid w:val="00C861BF"/>
    <w:rsid w:val="00C867E7"/>
    <w:rsid w:val="00C97703"/>
    <w:rsid w:val="00CC15DA"/>
    <w:rsid w:val="00CC3868"/>
    <w:rsid w:val="00CD0A30"/>
    <w:rsid w:val="00CD76AA"/>
    <w:rsid w:val="00CF6935"/>
    <w:rsid w:val="00D27DF6"/>
    <w:rsid w:val="00D40E92"/>
    <w:rsid w:val="00D425A1"/>
    <w:rsid w:val="00D95F22"/>
    <w:rsid w:val="00DB61D1"/>
    <w:rsid w:val="00DD1C08"/>
    <w:rsid w:val="00E00D03"/>
    <w:rsid w:val="00E01EA5"/>
    <w:rsid w:val="00E550EA"/>
    <w:rsid w:val="00E639AA"/>
    <w:rsid w:val="00E8012C"/>
    <w:rsid w:val="00E81965"/>
    <w:rsid w:val="00E8260E"/>
    <w:rsid w:val="00E85C68"/>
    <w:rsid w:val="00E86867"/>
    <w:rsid w:val="00EA2FD7"/>
    <w:rsid w:val="00EC315D"/>
    <w:rsid w:val="00ED3DC1"/>
    <w:rsid w:val="00EE0600"/>
    <w:rsid w:val="00EE5E02"/>
    <w:rsid w:val="00F32D34"/>
    <w:rsid w:val="00F41CC0"/>
    <w:rsid w:val="00F468D1"/>
    <w:rsid w:val="00F54F40"/>
    <w:rsid w:val="00F632E7"/>
    <w:rsid w:val="00F86115"/>
    <w:rsid w:val="00FB13D4"/>
    <w:rsid w:val="00FC0FAB"/>
    <w:rsid w:val="00FC437D"/>
    <w:rsid w:val="00FD46C9"/>
    <w:rsid w:val="00FE614B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E639AA"/>
    <w:pPr>
      <w:ind w:leftChars="200" w:left="480"/>
    </w:pPr>
  </w:style>
  <w:style w:type="table" w:styleId="ab">
    <w:name w:val="Table Grid"/>
    <w:basedOn w:val="a1"/>
    <w:uiPriority w:val="3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0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0C5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F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2</cp:revision>
  <cp:lastPrinted>2019-12-23T12:10:00Z</cp:lastPrinted>
  <dcterms:created xsi:type="dcterms:W3CDTF">2024-11-20T07:16:00Z</dcterms:created>
  <dcterms:modified xsi:type="dcterms:W3CDTF">2024-11-20T07:16:00Z</dcterms:modified>
</cp:coreProperties>
</file>