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61" w:rsidRDefault="00D64371" w:rsidP="007D4B92">
      <w:pPr>
        <w:rPr>
          <w:rFonts w:ascii="標楷體" w:eastAsia="標楷體" w:hAnsi="標楷體"/>
          <w:b/>
          <w:sz w:val="32"/>
          <w:szCs w:val="32"/>
        </w:rPr>
      </w:pPr>
      <w:r w:rsidRPr="001D55B4">
        <w:rPr>
          <w:rFonts w:ascii="標楷體" w:eastAsia="標楷體" w:hAnsi="標楷體" w:hint="eastAsia"/>
          <w:b/>
          <w:sz w:val="32"/>
          <w:szCs w:val="32"/>
        </w:rPr>
        <w:t>高雄醫學大學教師著作外審審查委員遴聘及迴避原則</w:t>
      </w:r>
    </w:p>
    <w:p w:rsidR="000230DD" w:rsidRPr="001871AD" w:rsidRDefault="000230DD" w:rsidP="00923D6E">
      <w:pPr>
        <w:spacing w:line="240" w:lineRule="exact"/>
        <w:ind w:leftChars="2244" w:left="5386" w:rightChars="-69" w:right="-166"/>
        <w:rPr>
          <w:rFonts w:ascii="Times New Roman" w:eastAsia="標楷體" w:hAnsi="Times New Roman" w:cs="Times New Roman"/>
          <w:sz w:val="20"/>
        </w:rPr>
      </w:pPr>
      <w:r w:rsidRPr="001871AD">
        <w:rPr>
          <w:rFonts w:ascii="Times New Roman" w:eastAsia="標楷體" w:hAnsi="Times New Roman" w:cs="Times New Roman"/>
          <w:sz w:val="20"/>
        </w:rPr>
        <w:t>109.0</w:t>
      </w:r>
      <w:r w:rsidR="00923D6E">
        <w:rPr>
          <w:rFonts w:ascii="Times New Roman" w:eastAsia="標楷體" w:hAnsi="Times New Roman" w:cs="Times New Roman" w:hint="eastAsia"/>
          <w:sz w:val="20"/>
        </w:rPr>
        <w:t>7</w:t>
      </w:r>
      <w:r w:rsidRPr="001871AD">
        <w:rPr>
          <w:rFonts w:ascii="Times New Roman" w:eastAsia="標楷體" w:hAnsi="Times New Roman" w:cs="Times New Roman"/>
          <w:sz w:val="20"/>
        </w:rPr>
        <w:t>.</w:t>
      </w:r>
      <w:r w:rsidR="00923D6E">
        <w:rPr>
          <w:rFonts w:ascii="Times New Roman" w:eastAsia="標楷體" w:hAnsi="Times New Roman" w:cs="Times New Roman" w:hint="eastAsia"/>
          <w:sz w:val="20"/>
        </w:rPr>
        <w:t>15</w:t>
      </w:r>
      <w:r w:rsidRPr="001871AD">
        <w:rPr>
          <w:rFonts w:ascii="Times New Roman" w:eastAsia="標楷體" w:hAnsi="Times New Roman" w:cs="Times New Roman"/>
          <w:sz w:val="20"/>
        </w:rPr>
        <w:tab/>
      </w:r>
      <w:r w:rsidR="00196D7B">
        <w:rPr>
          <w:rFonts w:ascii="Times New Roman" w:eastAsia="標楷體" w:hAnsi="Times New Roman" w:cs="Times New Roman"/>
          <w:sz w:val="20"/>
        </w:rPr>
        <w:t xml:space="preserve"> </w:t>
      </w:r>
      <w:r w:rsidRPr="001871AD">
        <w:rPr>
          <w:rFonts w:ascii="Times New Roman" w:eastAsia="標楷體" w:hAnsi="Times New Roman" w:cs="Times New Roman"/>
          <w:sz w:val="20"/>
        </w:rPr>
        <w:t>108</w:t>
      </w:r>
      <w:r w:rsidRPr="001871AD">
        <w:rPr>
          <w:rFonts w:ascii="Times New Roman" w:eastAsia="標楷體" w:hAnsi="Times New Roman" w:cs="Times New Roman"/>
          <w:sz w:val="20"/>
        </w:rPr>
        <w:t>學年度</w:t>
      </w:r>
      <w:r w:rsidR="001871AD" w:rsidRPr="001871AD">
        <w:rPr>
          <w:rFonts w:ascii="Times New Roman" w:eastAsia="標楷體" w:hAnsi="Times New Roman" w:cs="Times New Roman"/>
          <w:sz w:val="20"/>
        </w:rPr>
        <w:t>第</w:t>
      </w:r>
      <w:r w:rsidR="00923D6E">
        <w:rPr>
          <w:rFonts w:ascii="Times New Roman" w:eastAsia="標楷體" w:hAnsi="Times New Roman" w:cs="Times New Roman" w:hint="eastAsia"/>
          <w:sz w:val="20"/>
        </w:rPr>
        <w:t>8</w:t>
      </w:r>
      <w:r w:rsidR="001871AD" w:rsidRPr="001871AD">
        <w:rPr>
          <w:rFonts w:ascii="Times New Roman" w:eastAsia="標楷體" w:hAnsi="Times New Roman" w:cs="Times New Roman"/>
          <w:sz w:val="20"/>
        </w:rPr>
        <w:t>次</w:t>
      </w:r>
      <w:r w:rsidRPr="001871AD">
        <w:rPr>
          <w:rFonts w:ascii="Times New Roman" w:eastAsia="標楷體" w:hAnsi="Times New Roman" w:cs="Times New Roman"/>
          <w:sz w:val="20"/>
        </w:rPr>
        <w:t>教師評審委員會通過</w:t>
      </w:r>
    </w:p>
    <w:p w:rsidR="000230DD" w:rsidRDefault="006F4CB6" w:rsidP="001871AD">
      <w:pPr>
        <w:spacing w:line="240" w:lineRule="exact"/>
        <w:ind w:leftChars="2244" w:left="5386" w:rightChars="-69" w:right="-166"/>
        <w:rPr>
          <w:rFonts w:eastAsia="標楷體" w:hAnsi="標楷體"/>
          <w:sz w:val="20"/>
        </w:rPr>
      </w:pPr>
      <w:r>
        <w:rPr>
          <w:rFonts w:ascii="Times New Roman" w:eastAsia="標楷體" w:hAnsi="Times New Roman" w:cs="Times New Roman"/>
          <w:kern w:val="0"/>
          <w:sz w:val="20"/>
        </w:rPr>
        <w:t>109.08.19</w:t>
      </w:r>
      <w:r w:rsidR="00196D7B">
        <w:rPr>
          <w:rFonts w:ascii="Times New Roman" w:eastAsia="標楷體" w:hAnsi="Times New Roman" w:cs="Times New Roman"/>
          <w:kern w:val="0"/>
          <w:sz w:val="20"/>
        </w:rPr>
        <w:t xml:space="preserve">  </w:t>
      </w:r>
      <w:r>
        <w:rPr>
          <w:rFonts w:ascii="Times New Roman" w:eastAsia="標楷體" w:hAnsi="Times New Roman" w:cs="Times New Roman" w:hint="eastAsia"/>
          <w:kern w:val="0"/>
          <w:sz w:val="20"/>
        </w:rPr>
        <w:t>高醫人字第</w:t>
      </w:r>
      <w:bookmarkStart w:id="0" w:name="_GoBack"/>
      <w:r>
        <w:rPr>
          <w:rFonts w:ascii="Times New Roman" w:eastAsia="標楷體" w:hAnsi="Times New Roman" w:cs="Times New Roman"/>
          <w:kern w:val="0"/>
          <w:sz w:val="20"/>
        </w:rPr>
        <w:t>1091102565</w:t>
      </w:r>
      <w:bookmarkEnd w:id="0"/>
      <w:r>
        <w:rPr>
          <w:rFonts w:ascii="Times New Roman" w:eastAsia="標楷體" w:hAnsi="Times New Roman" w:cs="Times New Roman" w:hint="eastAsia"/>
          <w:kern w:val="0"/>
          <w:sz w:val="20"/>
        </w:rPr>
        <w:t>號函公布</w:t>
      </w:r>
    </w:p>
    <w:p w:rsidR="001871AD" w:rsidRPr="000230DD" w:rsidRDefault="001871AD" w:rsidP="000230DD">
      <w:pPr>
        <w:spacing w:line="240" w:lineRule="exact"/>
        <w:ind w:leftChars="1949" w:left="4678" w:rightChars="-69" w:right="-166"/>
        <w:rPr>
          <w:rFonts w:eastAsia="標楷體" w:hAnsi="標楷體"/>
          <w:sz w:val="20"/>
        </w:rPr>
      </w:pPr>
    </w:p>
    <w:p w:rsidR="00197A61" w:rsidRPr="001D55B4" w:rsidRDefault="003B7B3D" w:rsidP="00D64371">
      <w:pPr>
        <w:pStyle w:val="a3"/>
        <w:numPr>
          <w:ilvl w:val="0"/>
          <w:numId w:val="2"/>
        </w:numPr>
        <w:spacing w:beforeLines="50" w:before="180"/>
        <w:ind w:leftChars="0"/>
        <w:jc w:val="both"/>
        <w:rPr>
          <w:rFonts w:ascii="標楷體" w:eastAsia="標楷體" w:hAnsi="標楷體"/>
        </w:rPr>
      </w:pPr>
      <w:r w:rsidRPr="001D55B4">
        <w:rPr>
          <w:rFonts w:ascii="標楷體" w:eastAsia="標楷體" w:hAnsi="標楷體" w:hint="eastAsia"/>
        </w:rPr>
        <w:t>為辦理新聘、升等教師</w:t>
      </w:r>
      <w:r w:rsidRPr="001D55B4">
        <w:rPr>
          <w:rFonts w:ascii="標楷體" w:eastAsia="標楷體" w:hAnsi="標楷體" w:hint="eastAsia"/>
          <w:lang w:eastAsia="zh-HK"/>
        </w:rPr>
        <w:t>資</w:t>
      </w:r>
      <w:r w:rsidRPr="001D55B4">
        <w:rPr>
          <w:rFonts w:ascii="標楷體" w:eastAsia="標楷體" w:hAnsi="標楷體" w:hint="eastAsia"/>
        </w:rPr>
        <w:t>格審定之著作外審作業，依據</w:t>
      </w:r>
      <w:r w:rsidR="00D64371" w:rsidRPr="001D55B4">
        <w:rPr>
          <w:rFonts w:ascii="Times New Roman" w:eastAsia="標楷體" w:hAnsi="Times New Roman" w:cs="Times New Roman"/>
        </w:rPr>
        <w:t>專科以上學校教師資格審定辦法</w:t>
      </w:r>
      <w:r w:rsidR="00B55056" w:rsidRPr="001D55B4">
        <w:rPr>
          <w:rFonts w:ascii="Times New Roman" w:eastAsia="標楷體" w:hAnsi="Times New Roman" w:cs="Times New Roman"/>
        </w:rPr>
        <w:t>第</w:t>
      </w:r>
      <w:r w:rsidR="00B55056" w:rsidRPr="001D55B4">
        <w:rPr>
          <w:rFonts w:ascii="Times New Roman" w:eastAsia="標楷體" w:hAnsi="Times New Roman" w:cs="Times New Roman"/>
        </w:rPr>
        <w:t>30</w:t>
      </w:r>
      <w:r w:rsidR="00B55056" w:rsidRPr="001D55B4">
        <w:rPr>
          <w:rFonts w:ascii="Times New Roman" w:eastAsia="標楷體" w:hAnsi="Times New Roman" w:cs="Times New Roman"/>
        </w:rPr>
        <w:t>條</w:t>
      </w:r>
      <w:r w:rsidR="00D64371" w:rsidRPr="001D55B4">
        <w:rPr>
          <w:rFonts w:ascii="Times New Roman" w:eastAsia="標楷體" w:hAnsi="Times New Roman" w:cs="Times New Roman"/>
        </w:rPr>
        <w:t>及</w:t>
      </w:r>
      <w:r w:rsidRPr="001D55B4">
        <w:rPr>
          <w:rFonts w:ascii="Times New Roman" w:eastAsia="標楷體" w:hAnsi="Times New Roman" w:cs="Times New Roman"/>
        </w:rPr>
        <w:t>本校教師聘任及</w:t>
      </w:r>
      <w:r w:rsidRPr="001D55B4">
        <w:rPr>
          <w:rFonts w:ascii="Times New Roman" w:eastAsia="標楷體" w:hAnsi="Times New Roman" w:cs="Times New Roman"/>
          <w:lang w:eastAsia="zh-HK"/>
        </w:rPr>
        <w:t>升等</w:t>
      </w:r>
      <w:r w:rsidRPr="001D55B4">
        <w:rPr>
          <w:rFonts w:ascii="Times New Roman" w:eastAsia="標楷體" w:hAnsi="Times New Roman" w:cs="Times New Roman"/>
        </w:rPr>
        <w:t>資格審定辦法第</w:t>
      </w:r>
      <w:r w:rsidRPr="001D55B4">
        <w:rPr>
          <w:rFonts w:ascii="Times New Roman" w:eastAsia="標楷體" w:hAnsi="Times New Roman" w:cs="Times New Roman"/>
        </w:rPr>
        <w:t>16</w:t>
      </w:r>
      <w:r w:rsidRPr="001D55B4">
        <w:rPr>
          <w:rFonts w:ascii="Times New Roman" w:eastAsia="標楷體" w:hAnsi="Times New Roman" w:cs="Times New Roman"/>
        </w:rPr>
        <w:t>條</w:t>
      </w:r>
      <w:r w:rsidR="00B55056" w:rsidRPr="001D55B4">
        <w:rPr>
          <w:rFonts w:ascii="Times New Roman" w:eastAsia="標楷體" w:hAnsi="Times New Roman" w:cs="Times New Roman" w:hint="eastAsia"/>
        </w:rPr>
        <w:t>訂定本原則</w:t>
      </w:r>
      <w:r w:rsidRPr="001D55B4">
        <w:rPr>
          <w:rFonts w:ascii="標楷體" w:eastAsia="標楷體" w:hAnsi="標楷體" w:hint="eastAsia"/>
        </w:rPr>
        <w:t>。</w:t>
      </w:r>
    </w:p>
    <w:p w:rsidR="00564567" w:rsidRPr="001D55B4" w:rsidRDefault="00564567" w:rsidP="00564567">
      <w:pPr>
        <w:pStyle w:val="a3"/>
        <w:numPr>
          <w:ilvl w:val="0"/>
          <w:numId w:val="2"/>
        </w:numPr>
        <w:spacing w:beforeLines="50" w:before="180"/>
        <w:ind w:leftChars="0"/>
        <w:jc w:val="both"/>
        <w:rPr>
          <w:rFonts w:ascii="標楷體" w:eastAsia="標楷體" w:hAnsi="標楷體"/>
        </w:rPr>
      </w:pPr>
      <w:r w:rsidRPr="001D55B4">
        <w:rPr>
          <w:rFonts w:ascii="標楷體" w:eastAsia="標楷體" w:hAnsi="標楷體" w:hint="eastAsia"/>
          <w:lang w:eastAsia="zh-HK"/>
        </w:rPr>
        <w:t>各級教師評</w:t>
      </w:r>
      <w:r w:rsidRPr="001D55B4">
        <w:rPr>
          <w:rFonts w:ascii="標楷體" w:eastAsia="標楷體" w:hAnsi="標楷體" w:hint="eastAsia"/>
        </w:rPr>
        <w:t>審</w:t>
      </w:r>
      <w:r w:rsidRPr="001D55B4">
        <w:rPr>
          <w:rFonts w:ascii="標楷體" w:eastAsia="標楷體" w:hAnsi="標楷體" w:hint="eastAsia"/>
          <w:lang w:eastAsia="zh-HK"/>
        </w:rPr>
        <w:t>委</w:t>
      </w:r>
      <w:r w:rsidRPr="001D55B4">
        <w:rPr>
          <w:rFonts w:ascii="標楷體" w:eastAsia="標楷體" w:hAnsi="標楷體" w:hint="eastAsia"/>
        </w:rPr>
        <w:t>員會</w:t>
      </w:r>
      <w:r w:rsidRPr="001D55B4">
        <w:rPr>
          <w:rFonts w:ascii="標楷體" w:eastAsia="標楷體" w:hAnsi="標楷體" w:hint="eastAsia"/>
          <w:lang w:eastAsia="zh-HK"/>
        </w:rPr>
        <w:t>推</w:t>
      </w:r>
      <w:r w:rsidRPr="001D55B4">
        <w:rPr>
          <w:rFonts w:ascii="標楷體" w:eastAsia="標楷體" w:hAnsi="標楷體" w:hint="eastAsia"/>
        </w:rPr>
        <w:t>薦</w:t>
      </w:r>
      <w:r w:rsidR="00B74BD1" w:rsidRPr="001D55B4">
        <w:rPr>
          <w:rFonts w:ascii="標楷體" w:eastAsia="標楷體" w:hAnsi="標楷體" w:hint="eastAsia"/>
        </w:rPr>
        <w:t>之</w:t>
      </w:r>
      <w:r w:rsidRPr="001D55B4">
        <w:rPr>
          <w:rFonts w:ascii="標楷體" w:eastAsia="標楷體" w:hAnsi="標楷體" w:hint="eastAsia"/>
        </w:rPr>
        <w:t>著作外審審查委員(以下簡稱</w:t>
      </w:r>
      <w:r w:rsidRPr="001D55B4">
        <w:rPr>
          <w:rFonts w:ascii="標楷體" w:eastAsia="標楷體" w:hAnsi="標楷體" w:hint="eastAsia"/>
          <w:lang w:eastAsia="zh-HK"/>
        </w:rPr>
        <w:t>外審委員</w:t>
      </w:r>
      <w:r w:rsidRPr="001D55B4">
        <w:rPr>
          <w:rFonts w:ascii="標楷體" w:eastAsia="標楷體" w:hAnsi="標楷體"/>
        </w:rPr>
        <w:t>)</w:t>
      </w:r>
      <w:r w:rsidRPr="001D55B4">
        <w:rPr>
          <w:rFonts w:ascii="標楷體" w:eastAsia="標楷體" w:hAnsi="標楷體" w:hint="eastAsia"/>
          <w:lang w:eastAsia="zh-HK"/>
        </w:rPr>
        <w:t>應符合下列條</w:t>
      </w:r>
      <w:r w:rsidRPr="001D55B4">
        <w:rPr>
          <w:rFonts w:ascii="標楷體" w:eastAsia="標楷體" w:hAnsi="標楷體" w:hint="eastAsia"/>
        </w:rPr>
        <w:t>件：</w:t>
      </w:r>
    </w:p>
    <w:p w:rsidR="003474C8" w:rsidRPr="001D55B4" w:rsidRDefault="003474C8" w:rsidP="000230DD">
      <w:pPr>
        <w:pStyle w:val="a3"/>
        <w:numPr>
          <w:ilvl w:val="0"/>
          <w:numId w:val="5"/>
        </w:numPr>
        <w:ind w:leftChars="0" w:left="1078" w:hanging="488"/>
        <w:jc w:val="both"/>
        <w:rPr>
          <w:rFonts w:ascii="標楷體" w:eastAsia="標楷體" w:hAnsi="標楷體"/>
        </w:rPr>
      </w:pPr>
      <w:r w:rsidRPr="001D55B4">
        <w:rPr>
          <w:rFonts w:ascii="標楷體" w:eastAsia="標楷體" w:hAnsi="標楷體" w:hint="eastAsia"/>
        </w:rPr>
        <w:t>外審委員以具有教育部審定教授資格且持續有發表論文者為原則。</w:t>
      </w:r>
    </w:p>
    <w:p w:rsidR="00B74BD1" w:rsidRPr="001D55B4" w:rsidRDefault="00B74BD1" w:rsidP="000230DD">
      <w:pPr>
        <w:pStyle w:val="a3"/>
        <w:numPr>
          <w:ilvl w:val="0"/>
          <w:numId w:val="5"/>
        </w:numPr>
        <w:ind w:leftChars="0" w:left="1078" w:hanging="488"/>
        <w:jc w:val="both"/>
        <w:rPr>
          <w:rFonts w:ascii="標楷體" w:eastAsia="標楷體" w:hAnsi="標楷體"/>
        </w:rPr>
      </w:pPr>
      <w:r w:rsidRPr="001D55B4">
        <w:rPr>
          <w:rFonts w:ascii="標楷體" w:eastAsia="標楷體" w:hAnsi="標楷體" w:hint="eastAsia"/>
        </w:rPr>
        <w:t>外審委員</w:t>
      </w:r>
      <w:r w:rsidRPr="001D55B4">
        <w:rPr>
          <w:rFonts w:ascii="標楷體" w:eastAsia="標楷體" w:hAnsi="標楷體" w:hint="eastAsia"/>
          <w:lang w:eastAsia="zh-HK"/>
        </w:rPr>
        <w:t>研究領域</w:t>
      </w:r>
      <w:r w:rsidRPr="001D55B4">
        <w:rPr>
          <w:rFonts w:ascii="標楷體" w:eastAsia="標楷體" w:hAnsi="標楷體" w:hint="eastAsia"/>
        </w:rPr>
        <w:t>應符合送審教師之學術專長</w:t>
      </w:r>
      <w:r w:rsidRPr="001D55B4">
        <w:rPr>
          <w:rFonts w:ascii="標楷體" w:eastAsia="標楷體" w:hAnsi="標楷體"/>
        </w:rPr>
        <w:t>，如送審教師之送審著作跨不同學術專長領域，則以代表著作之專長領域為主要考量依據。</w:t>
      </w:r>
    </w:p>
    <w:p w:rsidR="00B5681C" w:rsidRPr="001D55B4" w:rsidRDefault="00B74BD1" w:rsidP="000230DD">
      <w:pPr>
        <w:pStyle w:val="a3"/>
        <w:numPr>
          <w:ilvl w:val="0"/>
          <w:numId w:val="5"/>
        </w:numPr>
        <w:ind w:leftChars="0" w:left="1078" w:hanging="488"/>
        <w:jc w:val="both"/>
        <w:rPr>
          <w:rFonts w:ascii="標楷體" w:eastAsia="標楷體" w:hAnsi="標楷體"/>
        </w:rPr>
      </w:pPr>
      <w:r w:rsidRPr="001D55B4">
        <w:rPr>
          <w:rFonts w:ascii="標楷體" w:eastAsia="標楷體" w:hAnsi="標楷體" w:hint="eastAsia"/>
          <w:lang w:eastAsia="zh-HK"/>
        </w:rPr>
        <w:t>外審委員不得低階高審</w:t>
      </w:r>
      <w:r w:rsidRPr="001D55B4">
        <w:rPr>
          <w:rFonts w:ascii="標楷體" w:eastAsia="標楷體" w:hAnsi="標楷體" w:hint="eastAsia"/>
        </w:rPr>
        <w:t>。</w:t>
      </w:r>
      <w:r w:rsidR="00973DEB" w:rsidRPr="001D55B4">
        <w:rPr>
          <w:rFonts w:ascii="標楷體" w:eastAsia="標楷體" w:hAnsi="標楷體" w:hint="eastAsia"/>
        </w:rPr>
        <w:t>送審副教授(</w:t>
      </w:r>
      <w:r w:rsidR="00973DEB" w:rsidRPr="001D55B4">
        <w:rPr>
          <w:rFonts w:ascii="標楷體" w:eastAsia="標楷體" w:hAnsi="標楷體" w:hint="eastAsia"/>
          <w:lang w:eastAsia="zh-HK"/>
        </w:rPr>
        <w:t>含</w:t>
      </w:r>
      <w:r w:rsidR="00973DEB" w:rsidRPr="001D55B4">
        <w:rPr>
          <w:rFonts w:ascii="標楷體" w:eastAsia="標楷體" w:hAnsi="標楷體"/>
        </w:rPr>
        <w:t>)以下資格</w:t>
      </w:r>
      <w:r w:rsidR="00973DEB" w:rsidRPr="001D55B4">
        <w:rPr>
          <w:rFonts w:ascii="標楷體" w:eastAsia="標楷體" w:hAnsi="標楷體" w:hint="eastAsia"/>
          <w:lang w:eastAsia="zh-HK"/>
        </w:rPr>
        <w:t>審定</w:t>
      </w:r>
      <w:r w:rsidR="00973DEB" w:rsidRPr="001D55B4">
        <w:rPr>
          <w:rFonts w:ascii="標楷體" w:eastAsia="標楷體" w:hAnsi="標楷體" w:hint="eastAsia"/>
        </w:rPr>
        <w:t>案，</w:t>
      </w:r>
      <w:r w:rsidR="003474C8" w:rsidRPr="001D55B4">
        <w:rPr>
          <w:rFonts w:ascii="標楷體" w:eastAsia="標楷體" w:hAnsi="標楷體" w:hint="eastAsia"/>
        </w:rPr>
        <w:t>若</w:t>
      </w:r>
      <w:r w:rsidRPr="001D55B4">
        <w:rPr>
          <w:rFonts w:ascii="標楷體" w:eastAsia="標楷體" w:hAnsi="標楷體" w:hint="eastAsia"/>
        </w:rPr>
        <w:t>具</w:t>
      </w:r>
      <w:r w:rsidR="003474C8" w:rsidRPr="001D55B4">
        <w:rPr>
          <w:rFonts w:ascii="標楷體" w:eastAsia="標楷體" w:hAnsi="標楷體" w:hint="eastAsia"/>
        </w:rPr>
        <w:t>教授</w:t>
      </w:r>
      <w:r w:rsidRPr="001D55B4">
        <w:rPr>
          <w:rFonts w:ascii="標楷體" w:eastAsia="標楷體" w:hAnsi="標楷體" w:hint="eastAsia"/>
        </w:rPr>
        <w:t>資格之適當</w:t>
      </w:r>
      <w:r w:rsidR="003474C8" w:rsidRPr="001D55B4">
        <w:rPr>
          <w:rFonts w:ascii="標楷體" w:eastAsia="標楷體" w:hAnsi="標楷體" w:hint="eastAsia"/>
        </w:rPr>
        <w:t>人選</w:t>
      </w:r>
      <w:r w:rsidR="00973DEB" w:rsidRPr="001D55B4">
        <w:rPr>
          <w:rFonts w:ascii="標楷體" w:eastAsia="標楷體" w:hAnsi="標楷體" w:hint="eastAsia"/>
          <w:lang w:eastAsia="zh-HK"/>
        </w:rPr>
        <w:t>不足</w:t>
      </w:r>
      <w:r w:rsidR="003474C8" w:rsidRPr="001D55B4">
        <w:rPr>
          <w:rFonts w:ascii="標楷體" w:eastAsia="標楷體" w:hAnsi="標楷體" w:hint="eastAsia"/>
        </w:rPr>
        <w:t>，</w:t>
      </w:r>
      <w:r w:rsidR="00973DEB" w:rsidRPr="001D55B4">
        <w:rPr>
          <w:rFonts w:ascii="標楷體" w:eastAsia="標楷體" w:hAnsi="標楷體" w:hint="eastAsia"/>
          <w:lang w:eastAsia="zh-HK"/>
        </w:rPr>
        <w:t>則</w:t>
      </w:r>
      <w:r w:rsidRPr="001D55B4">
        <w:rPr>
          <w:rFonts w:ascii="標楷體" w:eastAsia="標楷體" w:hAnsi="標楷體" w:hint="eastAsia"/>
        </w:rPr>
        <w:t>得於</w:t>
      </w:r>
      <w:r w:rsidR="003474C8" w:rsidRPr="001D55B4">
        <w:rPr>
          <w:rFonts w:ascii="標楷體" w:eastAsia="標楷體" w:hAnsi="標楷體" w:hint="eastAsia"/>
        </w:rPr>
        <w:t>註明緣由後</w:t>
      </w:r>
      <w:r w:rsidR="00973DEB" w:rsidRPr="001D55B4">
        <w:rPr>
          <w:rFonts w:ascii="標楷體" w:eastAsia="標楷體" w:hAnsi="標楷體" w:hint="eastAsia"/>
        </w:rPr>
        <w:t>，</w:t>
      </w:r>
      <w:r w:rsidR="003474C8" w:rsidRPr="001D55B4">
        <w:rPr>
          <w:rFonts w:ascii="標楷體" w:eastAsia="標楷體" w:hAnsi="標楷體" w:hint="eastAsia"/>
        </w:rPr>
        <w:t>推薦具有教育部審定之副教授資格者</w:t>
      </w:r>
      <w:r w:rsidRPr="001D55B4">
        <w:rPr>
          <w:rFonts w:ascii="標楷體" w:eastAsia="標楷體" w:hAnsi="標楷體" w:hint="eastAsia"/>
        </w:rPr>
        <w:t>為外審委員，惟</w:t>
      </w:r>
      <w:r w:rsidR="00CD1455" w:rsidRPr="001D55B4">
        <w:rPr>
          <w:rFonts w:ascii="標楷體" w:eastAsia="標楷體" w:hAnsi="標楷體" w:hint="eastAsia"/>
        </w:rPr>
        <w:t>不得超過該級教評會推薦</w:t>
      </w:r>
      <w:r w:rsidRPr="001D55B4">
        <w:rPr>
          <w:rFonts w:ascii="標楷體" w:eastAsia="標楷體" w:hAnsi="標楷體" w:hint="eastAsia"/>
        </w:rPr>
        <w:t>人</w:t>
      </w:r>
      <w:r w:rsidR="00CD1455" w:rsidRPr="001D55B4">
        <w:rPr>
          <w:rFonts w:ascii="標楷體" w:eastAsia="標楷體" w:hAnsi="標楷體" w:hint="eastAsia"/>
        </w:rPr>
        <w:t>數三分之一。</w:t>
      </w:r>
    </w:p>
    <w:p w:rsidR="00E75F92" w:rsidRPr="001D55B4" w:rsidRDefault="00B5681C" w:rsidP="000230DD">
      <w:pPr>
        <w:pStyle w:val="a3"/>
        <w:numPr>
          <w:ilvl w:val="0"/>
          <w:numId w:val="5"/>
        </w:numPr>
        <w:ind w:leftChars="0" w:left="1078" w:hanging="488"/>
        <w:jc w:val="both"/>
        <w:rPr>
          <w:rFonts w:ascii="標楷體" w:eastAsia="標楷體" w:hAnsi="標楷體"/>
        </w:rPr>
      </w:pPr>
      <w:r w:rsidRPr="001D55B4">
        <w:rPr>
          <w:rFonts w:ascii="標楷體" w:eastAsia="標楷體" w:hAnsi="標楷體" w:hint="eastAsia"/>
        </w:rPr>
        <w:t>通識教育類</w:t>
      </w:r>
      <w:r w:rsidRPr="001D55B4">
        <w:rPr>
          <w:rFonts w:ascii="標楷體" w:eastAsia="標楷體" w:hAnsi="標楷體" w:hint="eastAsia"/>
          <w:lang w:eastAsia="zh-HK"/>
        </w:rPr>
        <w:t>教師</w:t>
      </w:r>
      <w:r w:rsidR="00E75F92" w:rsidRPr="001D55B4">
        <w:rPr>
          <w:rFonts w:ascii="標楷體" w:eastAsia="標楷體" w:hAnsi="標楷體" w:hint="eastAsia"/>
        </w:rPr>
        <w:t>以技術報告或藝術類科作品送審者，</w:t>
      </w:r>
      <w:r w:rsidR="00EF2FA4" w:rsidRPr="001D55B4">
        <w:rPr>
          <w:rFonts w:ascii="標楷體" w:eastAsia="標楷體" w:hAnsi="標楷體" w:hint="eastAsia"/>
        </w:rPr>
        <w:t>外審</w:t>
      </w:r>
      <w:r w:rsidR="00E75F92" w:rsidRPr="001D55B4">
        <w:rPr>
          <w:rFonts w:ascii="標楷體" w:eastAsia="標楷體" w:hAnsi="標楷體" w:hint="eastAsia"/>
        </w:rPr>
        <w:t>委員應儘量遴選兼具實務經驗者擔任。必要時，亦得遴選未具教育部審定之教授資格</w:t>
      </w:r>
      <w:r w:rsidR="00EF2FA4" w:rsidRPr="001D55B4">
        <w:rPr>
          <w:rFonts w:ascii="標楷體" w:eastAsia="標楷體" w:hAnsi="標楷體" w:hint="eastAsia"/>
        </w:rPr>
        <w:t>，</w:t>
      </w:r>
      <w:r w:rsidR="00E75F92" w:rsidRPr="001D55B4">
        <w:rPr>
          <w:rFonts w:ascii="標楷體" w:eastAsia="標楷體" w:hAnsi="標楷體" w:hint="eastAsia"/>
        </w:rPr>
        <w:t>但其成就具備公認相當教授水準者擔任之，包括教授級專業技術人員及學術研究機構或與產業相關之研究機構相當教授級之研究員。</w:t>
      </w:r>
    </w:p>
    <w:p w:rsidR="007F7FE2" w:rsidRPr="001D55B4" w:rsidRDefault="00197A61" w:rsidP="007F7FE2">
      <w:pPr>
        <w:pStyle w:val="a3"/>
        <w:numPr>
          <w:ilvl w:val="0"/>
          <w:numId w:val="2"/>
        </w:numPr>
        <w:spacing w:beforeLines="50" w:before="180"/>
        <w:ind w:leftChars="0"/>
        <w:jc w:val="both"/>
        <w:rPr>
          <w:rFonts w:ascii="標楷體" w:eastAsia="標楷體" w:hAnsi="標楷體"/>
        </w:rPr>
      </w:pPr>
      <w:r w:rsidRPr="001D55B4">
        <w:rPr>
          <w:rFonts w:ascii="標楷體" w:eastAsia="標楷體" w:hAnsi="標楷體" w:hint="eastAsia"/>
        </w:rPr>
        <w:t>外審委員</w:t>
      </w:r>
      <w:r w:rsidR="0049467D" w:rsidRPr="001D55B4">
        <w:rPr>
          <w:rFonts w:ascii="標楷體" w:eastAsia="標楷體" w:hAnsi="標楷體" w:hint="eastAsia"/>
        </w:rPr>
        <w:t>如有以下情形者，</w:t>
      </w:r>
      <w:r w:rsidRPr="001D55B4">
        <w:rPr>
          <w:rFonts w:ascii="標楷體" w:eastAsia="標楷體" w:hAnsi="標楷體" w:hint="eastAsia"/>
        </w:rPr>
        <w:t>應</w:t>
      </w:r>
      <w:r w:rsidR="00CD1455" w:rsidRPr="001D55B4">
        <w:rPr>
          <w:rFonts w:ascii="標楷體" w:eastAsia="標楷體" w:hAnsi="標楷體" w:hint="eastAsia"/>
        </w:rPr>
        <w:t>迴避</w:t>
      </w:r>
      <w:r w:rsidR="0049467D" w:rsidRPr="001D55B4">
        <w:rPr>
          <w:rFonts w:ascii="標楷體" w:eastAsia="標楷體" w:hAnsi="標楷體" w:hint="eastAsia"/>
        </w:rPr>
        <w:t>審查</w:t>
      </w:r>
      <w:r w:rsidR="006E7C2C" w:rsidRPr="001D55B4">
        <w:rPr>
          <w:rFonts w:ascii="標楷體" w:eastAsia="標楷體" w:hAnsi="標楷體" w:hint="eastAsia"/>
        </w:rPr>
        <w:t>：</w:t>
      </w:r>
    </w:p>
    <w:p w:rsidR="00280F56" w:rsidRPr="001D55B4" w:rsidRDefault="00280F56" w:rsidP="000230DD">
      <w:pPr>
        <w:pStyle w:val="a3"/>
        <w:numPr>
          <w:ilvl w:val="1"/>
          <w:numId w:val="2"/>
        </w:numPr>
        <w:ind w:leftChars="0" w:left="1134" w:hanging="510"/>
        <w:jc w:val="both"/>
        <w:rPr>
          <w:rFonts w:ascii="標楷體" w:eastAsia="標楷體" w:hAnsi="標楷體"/>
        </w:rPr>
      </w:pPr>
      <w:r w:rsidRPr="001D55B4">
        <w:rPr>
          <w:rFonts w:ascii="標楷體" w:eastAsia="標楷體" w:hAnsi="標楷體" w:hint="eastAsia"/>
        </w:rPr>
        <w:t>曾有指導博士、碩士學位論文之師生關係</w:t>
      </w:r>
      <w:r w:rsidR="00F521A0" w:rsidRPr="001D55B4">
        <w:rPr>
          <w:rFonts w:ascii="標楷體" w:eastAsia="標楷體" w:hAnsi="標楷體"/>
        </w:rPr>
        <w:t>。</w:t>
      </w:r>
    </w:p>
    <w:p w:rsidR="00280F56" w:rsidRPr="001D55B4" w:rsidRDefault="00280F56" w:rsidP="000230DD">
      <w:pPr>
        <w:pStyle w:val="a3"/>
        <w:numPr>
          <w:ilvl w:val="1"/>
          <w:numId w:val="2"/>
        </w:numPr>
        <w:ind w:leftChars="0" w:left="1134" w:hanging="510"/>
        <w:jc w:val="both"/>
        <w:rPr>
          <w:rFonts w:ascii="標楷體" w:eastAsia="標楷體" w:hAnsi="標楷體"/>
        </w:rPr>
      </w:pPr>
      <w:r w:rsidRPr="001D55B4">
        <w:rPr>
          <w:rFonts w:ascii="標楷體" w:eastAsia="標楷體" w:hAnsi="標楷體" w:hint="eastAsia"/>
        </w:rPr>
        <w:t>配偶、前配偶、四親等內之血親或三親等內之姻親或曾有此關係者。</w:t>
      </w:r>
    </w:p>
    <w:p w:rsidR="00280F56" w:rsidRPr="001D55B4" w:rsidRDefault="00280F56" w:rsidP="000230DD">
      <w:pPr>
        <w:pStyle w:val="a3"/>
        <w:numPr>
          <w:ilvl w:val="1"/>
          <w:numId w:val="2"/>
        </w:numPr>
        <w:ind w:leftChars="0" w:left="1134" w:hanging="510"/>
        <w:jc w:val="both"/>
        <w:rPr>
          <w:rFonts w:ascii="標楷體" w:eastAsia="標楷體" w:hAnsi="標楷體"/>
        </w:rPr>
      </w:pPr>
      <w:r w:rsidRPr="001D55B4">
        <w:rPr>
          <w:rFonts w:ascii="標楷體" w:eastAsia="標楷體" w:hAnsi="標楷體" w:hint="eastAsia"/>
        </w:rPr>
        <w:t>主論文及代表著作之共同作者。</w:t>
      </w:r>
    </w:p>
    <w:p w:rsidR="00280F56" w:rsidRPr="001D55B4" w:rsidRDefault="00280F56" w:rsidP="000230DD">
      <w:pPr>
        <w:pStyle w:val="a3"/>
        <w:numPr>
          <w:ilvl w:val="1"/>
          <w:numId w:val="2"/>
        </w:numPr>
        <w:ind w:leftChars="0" w:left="1134" w:hanging="510"/>
        <w:jc w:val="both"/>
        <w:rPr>
          <w:rFonts w:ascii="標楷體" w:eastAsia="標楷體" w:hAnsi="標楷體"/>
        </w:rPr>
      </w:pPr>
      <w:r w:rsidRPr="001D55B4">
        <w:rPr>
          <w:rFonts w:ascii="標楷體" w:eastAsia="標楷體" w:hAnsi="標楷體" w:hint="eastAsia"/>
        </w:rPr>
        <w:t>相關利害關係人。</w:t>
      </w:r>
    </w:p>
    <w:p w:rsidR="007F7FE2" w:rsidRPr="001D55B4" w:rsidRDefault="00280F56" w:rsidP="000230DD">
      <w:pPr>
        <w:pStyle w:val="a3"/>
        <w:numPr>
          <w:ilvl w:val="1"/>
          <w:numId w:val="2"/>
        </w:numPr>
        <w:ind w:leftChars="0" w:left="1134" w:hanging="510"/>
        <w:jc w:val="both"/>
        <w:rPr>
          <w:rFonts w:ascii="標楷體" w:eastAsia="標楷體" w:hAnsi="標楷體"/>
        </w:rPr>
      </w:pPr>
      <w:r w:rsidRPr="001D55B4">
        <w:rPr>
          <w:rFonts w:ascii="標楷體" w:eastAsia="標楷體" w:hAnsi="標楷體" w:hint="eastAsia"/>
        </w:rPr>
        <w:t>依其他法律或規定應予迴避。</w:t>
      </w:r>
    </w:p>
    <w:p w:rsidR="00197A61" w:rsidRPr="001D55B4" w:rsidRDefault="009926DD" w:rsidP="009926DD">
      <w:pPr>
        <w:pStyle w:val="a3"/>
        <w:numPr>
          <w:ilvl w:val="0"/>
          <w:numId w:val="2"/>
        </w:numPr>
        <w:spacing w:beforeLines="50" w:before="180"/>
        <w:ind w:leftChars="0"/>
        <w:jc w:val="both"/>
        <w:rPr>
          <w:rFonts w:ascii="標楷體" w:eastAsia="標楷體" w:hAnsi="標楷體"/>
        </w:rPr>
      </w:pPr>
      <w:r w:rsidRPr="001D55B4">
        <w:rPr>
          <w:rFonts w:ascii="標楷體" w:eastAsia="標楷體" w:hAnsi="標楷體" w:hint="eastAsia"/>
        </w:rPr>
        <w:t>外審委員之選定，</w:t>
      </w:r>
      <w:r w:rsidR="00197A61" w:rsidRPr="001D55B4">
        <w:rPr>
          <w:rFonts w:ascii="標楷體" w:eastAsia="標楷體" w:hAnsi="標楷體" w:hint="eastAsia"/>
        </w:rPr>
        <w:t>為</w:t>
      </w:r>
      <w:r w:rsidR="00EF2FA4" w:rsidRPr="001D55B4">
        <w:rPr>
          <w:rFonts w:ascii="標楷體" w:eastAsia="標楷體" w:hAnsi="標楷體" w:hint="eastAsia"/>
        </w:rPr>
        <w:t>兼顧</w:t>
      </w:r>
      <w:r w:rsidR="00735B4A" w:rsidRPr="001D55B4">
        <w:rPr>
          <w:rFonts w:ascii="標楷體" w:eastAsia="標楷體" w:hAnsi="標楷體" w:hint="eastAsia"/>
        </w:rPr>
        <w:t>外審</w:t>
      </w:r>
      <w:r w:rsidR="00197A61" w:rsidRPr="001D55B4">
        <w:rPr>
          <w:rFonts w:ascii="標楷體" w:eastAsia="標楷體" w:hAnsi="標楷體" w:hint="eastAsia"/>
        </w:rPr>
        <w:t>委員遴選之公平性與平衡性，</w:t>
      </w:r>
      <w:r w:rsidR="006B472C" w:rsidRPr="001D55B4">
        <w:rPr>
          <w:rFonts w:ascii="標楷體" w:eastAsia="標楷體" w:hAnsi="標楷體" w:hint="eastAsia"/>
        </w:rPr>
        <w:t>宜</w:t>
      </w:r>
      <w:r w:rsidR="00EF2FA4" w:rsidRPr="001D55B4">
        <w:rPr>
          <w:rFonts w:ascii="標楷體" w:eastAsia="標楷體" w:hAnsi="標楷體" w:hint="eastAsia"/>
        </w:rPr>
        <w:t>遵循</w:t>
      </w:r>
      <w:r w:rsidR="00197A61" w:rsidRPr="001D55B4">
        <w:rPr>
          <w:rFonts w:ascii="標楷體" w:eastAsia="標楷體" w:hAnsi="標楷體" w:hint="eastAsia"/>
        </w:rPr>
        <w:t>下列原則</w:t>
      </w:r>
      <w:r w:rsidR="00EF2FA4" w:rsidRPr="001D55B4">
        <w:rPr>
          <w:rFonts w:ascii="標楷體" w:eastAsia="標楷體" w:hAnsi="標楷體" w:hint="eastAsia"/>
        </w:rPr>
        <w:t>辦理</w:t>
      </w:r>
      <w:r w:rsidR="00197A61" w:rsidRPr="001D55B4">
        <w:rPr>
          <w:rFonts w:ascii="標楷體" w:eastAsia="標楷體" w:hAnsi="標楷體" w:hint="eastAsia"/>
        </w:rPr>
        <w:t>：</w:t>
      </w:r>
    </w:p>
    <w:p w:rsidR="006B472C" w:rsidRPr="001D55B4" w:rsidRDefault="006B472C" w:rsidP="000230DD">
      <w:pPr>
        <w:pStyle w:val="a3"/>
        <w:numPr>
          <w:ilvl w:val="1"/>
          <w:numId w:val="2"/>
        </w:numPr>
        <w:ind w:leftChars="0" w:left="1134" w:hanging="516"/>
        <w:jc w:val="both"/>
        <w:rPr>
          <w:rFonts w:ascii="標楷體" w:eastAsia="標楷體" w:hAnsi="標楷體"/>
        </w:rPr>
      </w:pPr>
      <w:r w:rsidRPr="001D55B4">
        <w:rPr>
          <w:rFonts w:ascii="標楷體" w:eastAsia="標楷體" w:hAnsi="標楷體" w:hint="eastAsia"/>
        </w:rPr>
        <w:t>同一案件避免均由同一校系之教授擔任審查。</w:t>
      </w:r>
    </w:p>
    <w:p w:rsidR="00197A61" w:rsidRPr="001D55B4" w:rsidRDefault="00780C78" w:rsidP="000230DD">
      <w:pPr>
        <w:pStyle w:val="a3"/>
        <w:numPr>
          <w:ilvl w:val="1"/>
          <w:numId w:val="2"/>
        </w:numPr>
        <w:ind w:leftChars="0" w:left="1134" w:hanging="516"/>
        <w:jc w:val="both"/>
        <w:rPr>
          <w:rFonts w:ascii="標楷體" w:eastAsia="標楷體" w:hAnsi="標楷體"/>
        </w:rPr>
      </w:pPr>
      <w:r w:rsidRPr="001D55B4">
        <w:rPr>
          <w:rFonts w:ascii="標楷體" w:eastAsia="標楷體" w:hAnsi="標楷體" w:hint="eastAsia"/>
        </w:rPr>
        <w:t>送審教師</w:t>
      </w:r>
      <w:r w:rsidR="00197A61" w:rsidRPr="001D55B4">
        <w:rPr>
          <w:rFonts w:ascii="標楷體" w:eastAsia="標楷體" w:hAnsi="標楷體" w:hint="eastAsia"/>
        </w:rPr>
        <w:t>畢業學校之教授</w:t>
      </w:r>
      <w:r w:rsidR="006B472C" w:rsidRPr="001D55B4">
        <w:rPr>
          <w:rFonts w:ascii="標楷體" w:eastAsia="標楷體" w:hAnsi="標楷體" w:hint="eastAsia"/>
        </w:rPr>
        <w:t>盡可能迴避</w:t>
      </w:r>
      <w:r w:rsidR="00B31929" w:rsidRPr="001D55B4">
        <w:rPr>
          <w:rFonts w:ascii="標楷體" w:eastAsia="標楷體" w:hAnsi="標楷體" w:hint="eastAsia"/>
        </w:rPr>
        <w:t>審查</w:t>
      </w:r>
      <w:r w:rsidR="00197A61" w:rsidRPr="001D55B4">
        <w:rPr>
          <w:rFonts w:ascii="標楷體" w:eastAsia="標楷體" w:hAnsi="標楷體" w:hint="eastAsia"/>
        </w:rPr>
        <w:t>（尤其是畢業時間十年以內，且為同一系所者）。</w:t>
      </w:r>
    </w:p>
    <w:p w:rsidR="00197A61" w:rsidRPr="001D55B4" w:rsidRDefault="00197A61" w:rsidP="000230DD">
      <w:pPr>
        <w:pStyle w:val="a3"/>
        <w:numPr>
          <w:ilvl w:val="1"/>
          <w:numId w:val="2"/>
        </w:numPr>
        <w:ind w:leftChars="0" w:left="1134" w:hanging="516"/>
        <w:jc w:val="both"/>
        <w:rPr>
          <w:rFonts w:ascii="標楷體" w:eastAsia="標楷體" w:hAnsi="標楷體"/>
        </w:rPr>
      </w:pPr>
      <w:r w:rsidRPr="001D55B4">
        <w:rPr>
          <w:rFonts w:ascii="標楷體" w:eastAsia="標楷體" w:hAnsi="標楷體" w:hint="eastAsia"/>
        </w:rPr>
        <w:t>與</w:t>
      </w:r>
      <w:r w:rsidR="00780C78" w:rsidRPr="001D55B4">
        <w:rPr>
          <w:rFonts w:ascii="標楷體" w:eastAsia="標楷體" w:hAnsi="標楷體" w:hint="eastAsia"/>
        </w:rPr>
        <w:t>送審教師</w:t>
      </w:r>
      <w:r w:rsidRPr="001D55B4">
        <w:rPr>
          <w:rFonts w:ascii="標楷體" w:eastAsia="標楷體" w:hAnsi="標楷體" w:hint="eastAsia"/>
        </w:rPr>
        <w:t>為同校系且</w:t>
      </w:r>
      <w:r w:rsidR="006B472C" w:rsidRPr="001D55B4">
        <w:rPr>
          <w:rFonts w:ascii="標楷體" w:eastAsia="標楷體" w:hAnsi="標楷體" w:hint="eastAsia"/>
        </w:rPr>
        <w:t>同</w:t>
      </w:r>
      <w:r w:rsidR="00A71547" w:rsidRPr="001D55B4">
        <w:rPr>
          <w:rFonts w:ascii="標楷體" w:eastAsia="標楷體" w:hAnsi="標楷體" w:hint="eastAsia"/>
        </w:rPr>
        <w:t>時</w:t>
      </w:r>
      <w:r w:rsidR="006B472C" w:rsidRPr="001D55B4">
        <w:rPr>
          <w:rFonts w:ascii="標楷體" w:eastAsia="標楷體" w:hAnsi="標楷體" w:hint="eastAsia"/>
        </w:rPr>
        <w:t>期</w:t>
      </w:r>
      <w:r w:rsidRPr="001D55B4">
        <w:rPr>
          <w:rFonts w:ascii="標楷體" w:eastAsia="標楷體" w:hAnsi="標楷體" w:hint="eastAsia"/>
        </w:rPr>
        <w:t>畢業者</w:t>
      </w:r>
      <w:r w:rsidR="006B472C" w:rsidRPr="001D55B4">
        <w:rPr>
          <w:rFonts w:ascii="標楷體" w:eastAsia="標楷體" w:hAnsi="標楷體" w:hint="eastAsia"/>
        </w:rPr>
        <w:t>盡可能迴避審查</w:t>
      </w:r>
      <w:r w:rsidRPr="001D55B4">
        <w:rPr>
          <w:rFonts w:ascii="標楷體" w:eastAsia="標楷體" w:hAnsi="標楷體" w:hint="eastAsia"/>
        </w:rPr>
        <w:t>。</w:t>
      </w:r>
    </w:p>
    <w:p w:rsidR="00197A61" w:rsidRPr="001D55B4" w:rsidRDefault="00197A61" w:rsidP="000230DD">
      <w:pPr>
        <w:pStyle w:val="a3"/>
        <w:numPr>
          <w:ilvl w:val="1"/>
          <w:numId w:val="2"/>
        </w:numPr>
        <w:ind w:leftChars="0" w:left="1134" w:hanging="516"/>
        <w:jc w:val="both"/>
        <w:rPr>
          <w:rFonts w:ascii="標楷體" w:eastAsia="標楷體" w:hAnsi="標楷體"/>
        </w:rPr>
      </w:pPr>
      <w:r w:rsidRPr="001D55B4">
        <w:rPr>
          <w:rFonts w:ascii="標楷體" w:eastAsia="標楷體" w:hAnsi="標楷體" w:hint="eastAsia"/>
        </w:rPr>
        <w:t>曾與</w:t>
      </w:r>
      <w:r w:rsidR="00780C78" w:rsidRPr="001D55B4">
        <w:rPr>
          <w:rFonts w:ascii="標楷體" w:eastAsia="標楷體" w:hAnsi="標楷體" w:hint="eastAsia"/>
        </w:rPr>
        <w:t>送審教師</w:t>
      </w:r>
      <w:r w:rsidRPr="001D55B4">
        <w:rPr>
          <w:rFonts w:ascii="標楷體" w:eastAsia="標楷體" w:hAnsi="標楷體" w:hint="eastAsia"/>
        </w:rPr>
        <w:t>共同參與相關研究者</w:t>
      </w:r>
      <w:r w:rsidR="006B472C" w:rsidRPr="001D55B4">
        <w:rPr>
          <w:rFonts w:ascii="標楷體" w:eastAsia="標楷體" w:hAnsi="標楷體" w:hint="eastAsia"/>
        </w:rPr>
        <w:t>盡可能迴避審查。</w:t>
      </w:r>
    </w:p>
    <w:p w:rsidR="00197A61" w:rsidRPr="001D55B4" w:rsidRDefault="006B472C" w:rsidP="000230DD">
      <w:pPr>
        <w:pStyle w:val="a3"/>
        <w:numPr>
          <w:ilvl w:val="1"/>
          <w:numId w:val="2"/>
        </w:numPr>
        <w:ind w:leftChars="0" w:left="1134" w:hanging="516"/>
        <w:jc w:val="both"/>
        <w:rPr>
          <w:rFonts w:ascii="標楷體" w:eastAsia="標楷體" w:hAnsi="標楷體"/>
        </w:rPr>
      </w:pPr>
      <w:r w:rsidRPr="001D55B4">
        <w:rPr>
          <w:rFonts w:ascii="標楷體" w:eastAsia="標楷體" w:hAnsi="標楷體" w:hint="eastAsia"/>
        </w:rPr>
        <w:t>針對特殊</w:t>
      </w:r>
      <w:r w:rsidR="00A71547" w:rsidRPr="001D55B4">
        <w:rPr>
          <w:rFonts w:ascii="標楷體" w:eastAsia="標楷體" w:hAnsi="標楷體" w:hint="eastAsia"/>
        </w:rPr>
        <w:t>領域</w:t>
      </w:r>
      <w:r w:rsidRPr="001D55B4">
        <w:rPr>
          <w:rFonts w:ascii="標楷體" w:eastAsia="標楷體" w:hAnsi="標楷體" w:hint="eastAsia"/>
        </w:rPr>
        <w:t>，國內遴選適當之外審委員不易，可遴選國外之教授擔任</w:t>
      </w:r>
      <w:r w:rsidR="00B31929" w:rsidRPr="001D55B4">
        <w:rPr>
          <w:rFonts w:ascii="標楷體" w:eastAsia="標楷體" w:hAnsi="標楷體" w:hint="eastAsia"/>
        </w:rPr>
        <w:t>外審委員</w:t>
      </w:r>
      <w:r w:rsidRPr="001D55B4">
        <w:rPr>
          <w:rFonts w:ascii="標楷體" w:eastAsia="標楷體" w:hAnsi="標楷體" w:hint="eastAsia"/>
        </w:rPr>
        <w:t>。</w:t>
      </w:r>
    </w:p>
    <w:p w:rsidR="001E4AC2" w:rsidRPr="001D55B4" w:rsidRDefault="00197A61" w:rsidP="00992FEB">
      <w:pPr>
        <w:pStyle w:val="a3"/>
        <w:numPr>
          <w:ilvl w:val="0"/>
          <w:numId w:val="2"/>
        </w:numPr>
        <w:spacing w:beforeLines="50" w:before="180"/>
        <w:ind w:leftChars="0"/>
        <w:jc w:val="both"/>
        <w:rPr>
          <w:rFonts w:ascii="標楷體" w:eastAsia="標楷體" w:hAnsi="標楷體"/>
        </w:rPr>
      </w:pPr>
      <w:r w:rsidRPr="001D55B4">
        <w:rPr>
          <w:rFonts w:ascii="標楷體" w:eastAsia="標楷體" w:hAnsi="標楷體" w:hint="eastAsia"/>
        </w:rPr>
        <w:t>本</w:t>
      </w:r>
      <w:r w:rsidR="00B55056" w:rsidRPr="001D55B4">
        <w:rPr>
          <w:rFonts w:ascii="標楷體" w:eastAsia="標楷體" w:hAnsi="標楷體" w:hint="eastAsia"/>
        </w:rPr>
        <w:t>原則</w:t>
      </w:r>
      <w:r w:rsidR="00A71547" w:rsidRPr="001D55B4">
        <w:rPr>
          <w:rFonts w:ascii="標楷體" w:eastAsia="標楷體" w:hAnsi="標楷體" w:hint="eastAsia"/>
        </w:rPr>
        <w:t>經校教評會</w:t>
      </w:r>
      <w:r w:rsidR="008C581B" w:rsidRPr="001D55B4">
        <w:rPr>
          <w:rFonts w:ascii="標楷體" w:eastAsia="標楷體" w:hAnsi="標楷體" w:hint="eastAsia"/>
        </w:rPr>
        <w:t>審議</w:t>
      </w:r>
      <w:r w:rsidR="00A71547" w:rsidRPr="001D55B4">
        <w:rPr>
          <w:rFonts w:ascii="標楷體" w:eastAsia="標楷體" w:hAnsi="標楷體" w:hint="eastAsia"/>
        </w:rPr>
        <w:t>通過</w:t>
      </w:r>
      <w:r w:rsidR="008C581B" w:rsidRPr="001D55B4">
        <w:rPr>
          <w:rFonts w:ascii="標楷體" w:eastAsia="標楷體" w:hAnsi="標楷體" w:hint="eastAsia"/>
        </w:rPr>
        <w:t>後</w:t>
      </w:r>
      <w:r w:rsidR="00A71547" w:rsidRPr="001D55B4">
        <w:rPr>
          <w:rFonts w:ascii="標楷體" w:eastAsia="標楷體" w:hAnsi="標楷體" w:hint="eastAsia"/>
        </w:rPr>
        <w:t>，自公</w:t>
      </w:r>
      <w:r w:rsidR="008C581B" w:rsidRPr="001D55B4">
        <w:rPr>
          <w:rFonts w:ascii="標楷體" w:eastAsia="標楷體" w:hAnsi="標楷體" w:hint="eastAsia"/>
        </w:rPr>
        <w:t>布</w:t>
      </w:r>
      <w:r w:rsidR="00A71547" w:rsidRPr="001D55B4">
        <w:rPr>
          <w:rFonts w:ascii="標楷體" w:eastAsia="標楷體" w:hAnsi="標楷體" w:hint="eastAsia"/>
        </w:rPr>
        <w:t>日起實施，修正時亦同。</w:t>
      </w:r>
    </w:p>
    <w:sectPr w:rsidR="001E4AC2" w:rsidRPr="001D55B4" w:rsidSect="000230D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27D" w:rsidRDefault="009E527D" w:rsidP="006E7C2C">
      <w:r>
        <w:separator/>
      </w:r>
    </w:p>
  </w:endnote>
  <w:endnote w:type="continuationSeparator" w:id="0">
    <w:p w:rsidR="009E527D" w:rsidRDefault="009E527D" w:rsidP="006E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27D" w:rsidRDefault="009E527D" w:rsidP="006E7C2C">
      <w:r>
        <w:separator/>
      </w:r>
    </w:p>
  </w:footnote>
  <w:footnote w:type="continuationSeparator" w:id="0">
    <w:p w:rsidR="009E527D" w:rsidRDefault="009E527D" w:rsidP="006E7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523C"/>
    <w:multiLevelType w:val="hybridMultilevel"/>
    <w:tmpl w:val="E5D0EF74"/>
    <w:lvl w:ilvl="0" w:tplc="8A847EE0">
      <w:start w:val="1"/>
      <w:numFmt w:val="taiwaneseCountingThousand"/>
      <w:lvlText w:val="%1、"/>
      <w:lvlJc w:val="left"/>
      <w:pPr>
        <w:ind w:left="588" w:hanging="588"/>
      </w:pPr>
      <w:rPr>
        <w:rFonts w:hint="default"/>
      </w:rPr>
    </w:lvl>
    <w:lvl w:ilvl="1" w:tplc="DC44B672">
      <w:start w:val="1"/>
      <w:numFmt w:val="taiwaneseCountingThousand"/>
      <w:lvlText w:val="(%2)"/>
      <w:lvlJc w:val="left"/>
      <w:pPr>
        <w:ind w:left="2795"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760E92"/>
    <w:multiLevelType w:val="hybridMultilevel"/>
    <w:tmpl w:val="57E8D47E"/>
    <w:lvl w:ilvl="0" w:tplc="DC44B672">
      <w:start w:val="1"/>
      <w:numFmt w:val="taiwaneseCountingThousand"/>
      <w:lvlText w:val="(%1)"/>
      <w:lvlJc w:val="left"/>
      <w:pPr>
        <w:ind w:left="1068" w:hanging="480"/>
      </w:pPr>
      <w:rPr>
        <w:rFonts w:hint="default"/>
      </w:rPr>
    </w:lvl>
    <w:lvl w:ilvl="1" w:tplc="04090019">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34500FC6"/>
    <w:multiLevelType w:val="hybridMultilevel"/>
    <w:tmpl w:val="8F4E47C6"/>
    <w:lvl w:ilvl="0" w:tplc="DC44B6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3037C6"/>
    <w:multiLevelType w:val="hybridMultilevel"/>
    <w:tmpl w:val="CE0E82C2"/>
    <w:lvl w:ilvl="0" w:tplc="04090015">
      <w:start w:val="1"/>
      <w:numFmt w:val="taiwaneseCountingThousand"/>
      <w:lvlText w:val="%1、"/>
      <w:lvlJc w:val="left"/>
      <w:pPr>
        <w:ind w:left="4734" w:hanging="480"/>
      </w:pPr>
    </w:lvl>
    <w:lvl w:ilvl="1" w:tplc="04090019" w:tentative="1">
      <w:start w:val="1"/>
      <w:numFmt w:val="ideographTraditional"/>
      <w:lvlText w:val="%2、"/>
      <w:lvlJc w:val="left"/>
      <w:pPr>
        <w:ind w:left="5214" w:hanging="480"/>
      </w:pPr>
    </w:lvl>
    <w:lvl w:ilvl="2" w:tplc="0409001B" w:tentative="1">
      <w:start w:val="1"/>
      <w:numFmt w:val="lowerRoman"/>
      <w:lvlText w:val="%3."/>
      <w:lvlJc w:val="right"/>
      <w:pPr>
        <w:ind w:left="5694" w:hanging="480"/>
      </w:pPr>
    </w:lvl>
    <w:lvl w:ilvl="3" w:tplc="0409000F" w:tentative="1">
      <w:start w:val="1"/>
      <w:numFmt w:val="decimal"/>
      <w:lvlText w:val="%4."/>
      <w:lvlJc w:val="left"/>
      <w:pPr>
        <w:ind w:left="6174" w:hanging="480"/>
      </w:pPr>
    </w:lvl>
    <w:lvl w:ilvl="4" w:tplc="04090019" w:tentative="1">
      <w:start w:val="1"/>
      <w:numFmt w:val="ideographTraditional"/>
      <w:lvlText w:val="%5、"/>
      <w:lvlJc w:val="left"/>
      <w:pPr>
        <w:ind w:left="6654" w:hanging="480"/>
      </w:pPr>
    </w:lvl>
    <w:lvl w:ilvl="5" w:tplc="0409001B" w:tentative="1">
      <w:start w:val="1"/>
      <w:numFmt w:val="lowerRoman"/>
      <w:lvlText w:val="%6."/>
      <w:lvlJc w:val="right"/>
      <w:pPr>
        <w:ind w:left="7134" w:hanging="480"/>
      </w:pPr>
    </w:lvl>
    <w:lvl w:ilvl="6" w:tplc="0409000F" w:tentative="1">
      <w:start w:val="1"/>
      <w:numFmt w:val="decimal"/>
      <w:lvlText w:val="%7."/>
      <w:lvlJc w:val="left"/>
      <w:pPr>
        <w:ind w:left="7614" w:hanging="480"/>
      </w:pPr>
    </w:lvl>
    <w:lvl w:ilvl="7" w:tplc="04090019" w:tentative="1">
      <w:start w:val="1"/>
      <w:numFmt w:val="ideographTraditional"/>
      <w:lvlText w:val="%8、"/>
      <w:lvlJc w:val="left"/>
      <w:pPr>
        <w:ind w:left="8094" w:hanging="480"/>
      </w:pPr>
    </w:lvl>
    <w:lvl w:ilvl="8" w:tplc="0409001B" w:tentative="1">
      <w:start w:val="1"/>
      <w:numFmt w:val="lowerRoman"/>
      <w:lvlText w:val="%9."/>
      <w:lvlJc w:val="right"/>
      <w:pPr>
        <w:ind w:left="8574" w:hanging="480"/>
      </w:pPr>
    </w:lvl>
  </w:abstractNum>
  <w:abstractNum w:abstractNumId="4" w15:restartNumberingAfterBreak="0">
    <w:nsid w:val="694B315F"/>
    <w:multiLevelType w:val="hybridMultilevel"/>
    <w:tmpl w:val="8190E898"/>
    <w:lvl w:ilvl="0" w:tplc="DC44B672">
      <w:start w:val="1"/>
      <w:numFmt w:val="taiwaneseCountingThousand"/>
      <w:lvlText w:val="(%1)"/>
      <w:lvlJc w:val="left"/>
      <w:pPr>
        <w:ind w:left="2795"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44107D"/>
    <w:multiLevelType w:val="hybridMultilevel"/>
    <w:tmpl w:val="6D3058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A42A80"/>
    <w:multiLevelType w:val="hybridMultilevel"/>
    <w:tmpl w:val="8F4E47C6"/>
    <w:lvl w:ilvl="0" w:tplc="DC44B6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61"/>
    <w:rsid w:val="00001733"/>
    <w:rsid w:val="00005F3D"/>
    <w:rsid w:val="000230DD"/>
    <w:rsid w:val="00031BE2"/>
    <w:rsid w:val="0009642B"/>
    <w:rsid w:val="000A3207"/>
    <w:rsid w:val="000A489D"/>
    <w:rsid w:val="000E0835"/>
    <w:rsid w:val="000F06E3"/>
    <w:rsid w:val="00163A23"/>
    <w:rsid w:val="001871AD"/>
    <w:rsid w:val="00196D7B"/>
    <w:rsid w:val="00197A61"/>
    <w:rsid w:val="001D55B4"/>
    <w:rsid w:val="001E022F"/>
    <w:rsid w:val="001E4AC2"/>
    <w:rsid w:val="00237E12"/>
    <w:rsid w:val="002546AF"/>
    <w:rsid w:val="00280F56"/>
    <w:rsid w:val="003148D6"/>
    <w:rsid w:val="003474C8"/>
    <w:rsid w:val="00352361"/>
    <w:rsid w:val="003902D9"/>
    <w:rsid w:val="003B7B3D"/>
    <w:rsid w:val="003E54B3"/>
    <w:rsid w:val="0049467D"/>
    <w:rsid w:val="00496EE7"/>
    <w:rsid w:val="004D23DA"/>
    <w:rsid w:val="0052430B"/>
    <w:rsid w:val="00551545"/>
    <w:rsid w:val="00564567"/>
    <w:rsid w:val="00565885"/>
    <w:rsid w:val="00577283"/>
    <w:rsid w:val="005B5122"/>
    <w:rsid w:val="005B6A3E"/>
    <w:rsid w:val="00653AA0"/>
    <w:rsid w:val="0069207F"/>
    <w:rsid w:val="006A257B"/>
    <w:rsid w:val="006B472C"/>
    <w:rsid w:val="006E7C2C"/>
    <w:rsid w:val="006F4CB6"/>
    <w:rsid w:val="00735B4A"/>
    <w:rsid w:val="0073675D"/>
    <w:rsid w:val="00741CA1"/>
    <w:rsid w:val="00780C78"/>
    <w:rsid w:val="007D4B92"/>
    <w:rsid w:val="007F7FE2"/>
    <w:rsid w:val="00805814"/>
    <w:rsid w:val="008A1169"/>
    <w:rsid w:val="008C13CC"/>
    <w:rsid w:val="008C540F"/>
    <w:rsid w:val="008C581B"/>
    <w:rsid w:val="00923D6E"/>
    <w:rsid w:val="00945F47"/>
    <w:rsid w:val="00973DEB"/>
    <w:rsid w:val="0098040A"/>
    <w:rsid w:val="009926DD"/>
    <w:rsid w:val="009C00FF"/>
    <w:rsid w:val="009C6DDA"/>
    <w:rsid w:val="009D71E8"/>
    <w:rsid w:val="009E527D"/>
    <w:rsid w:val="009F7F36"/>
    <w:rsid w:val="00A01F3F"/>
    <w:rsid w:val="00A71547"/>
    <w:rsid w:val="00A91613"/>
    <w:rsid w:val="00AB0511"/>
    <w:rsid w:val="00AD1C1A"/>
    <w:rsid w:val="00B31929"/>
    <w:rsid w:val="00B52A02"/>
    <w:rsid w:val="00B54B9C"/>
    <w:rsid w:val="00B55056"/>
    <w:rsid w:val="00B5681C"/>
    <w:rsid w:val="00B74BD1"/>
    <w:rsid w:val="00B7539A"/>
    <w:rsid w:val="00BB571E"/>
    <w:rsid w:val="00C4013B"/>
    <w:rsid w:val="00C45F16"/>
    <w:rsid w:val="00CD1455"/>
    <w:rsid w:val="00D64371"/>
    <w:rsid w:val="00DB42E2"/>
    <w:rsid w:val="00E361FB"/>
    <w:rsid w:val="00E74ACE"/>
    <w:rsid w:val="00E75F92"/>
    <w:rsid w:val="00EA1259"/>
    <w:rsid w:val="00EF2FA4"/>
    <w:rsid w:val="00F23C6C"/>
    <w:rsid w:val="00F521A0"/>
    <w:rsid w:val="00F60ED3"/>
    <w:rsid w:val="00F71FE6"/>
    <w:rsid w:val="00FD73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CDC756-11A0-47B0-8DB6-B260BF0E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197A61"/>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97A61"/>
    <w:rPr>
      <w:rFonts w:ascii="新細明體" w:eastAsia="新細明體" w:hAnsi="新細明體" w:cs="新細明體"/>
      <w:b/>
      <w:bCs/>
      <w:kern w:val="0"/>
      <w:sz w:val="36"/>
      <w:szCs w:val="36"/>
    </w:rPr>
  </w:style>
  <w:style w:type="paragraph" w:styleId="Web">
    <w:name w:val="Normal (Web)"/>
    <w:basedOn w:val="a"/>
    <w:uiPriority w:val="99"/>
    <w:semiHidden/>
    <w:unhideWhenUsed/>
    <w:rsid w:val="00197A61"/>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7A61"/>
    <w:pPr>
      <w:ind w:leftChars="200" w:left="480"/>
    </w:pPr>
  </w:style>
  <w:style w:type="paragraph" w:styleId="a4">
    <w:name w:val="header"/>
    <w:basedOn w:val="a"/>
    <w:link w:val="a5"/>
    <w:uiPriority w:val="99"/>
    <w:unhideWhenUsed/>
    <w:rsid w:val="006E7C2C"/>
    <w:pPr>
      <w:tabs>
        <w:tab w:val="center" w:pos="4153"/>
        <w:tab w:val="right" w:pos="8306"/>
      </w:tabs>
      <w:snapToGrid w:val="0"/>
    </w:pPr>
    <w:rPr>
      <w:sz w:val="20"/>
      <w:szCs w:val="20"/>
    </w:rPr>
  </w:style>
  <w:style w:type="character" w:customStyle="1" w:styleId="a5">
    <w:name w:val="頁首 字元"/>
    <w:basedOn w:val="a0"/>
    <w:link w:val="a4"/>
    <w:uiPriority w:val="99"/>
    <w:rsid w:val="006E7C2C"/>
    <w:rPr>
      <w:sz w:val="20"/>
      <w:szCs w:val="20"/>
    </w:rPr>
  </w:style>
  <w:style w:type="paragraph" w:styleId="a6">
    <w:name w:val="footer"/>
    <w:basedOn w:val="a"/>
    <w:link w:val="a7"/>
    <w:uiPriority w:val="99"/>
    <w:unhideWhenUsed/>
    <w:rsid w:val="006E7C2C"/>
    <w:pPr>
      <w:tabs>
        <w:tab w:val="center" w:pos="4153"/>
        <w:tab w:val="right" w:pos="8306"/>
      </w:tabs>
      <w:snapToGrid w:val="0"/>
    </w:pPr>
    <w:rPr>
      <w:sz w:val="20"/>
      <w:szCs w:val="20"/>
    </w:rPr>
  </w:style>
  <w:style w:type="character" w:customStyle="1" w:styleId="a7">
    <w:name w:val="頁尾 字元"/>
    <w:basedOn w:val="a0"/>
    <w:link w:val="a6"/>
    <w:uiPriority w:val="99"/>
    <w:rsid w:val="006E7C2C"/>
    <w:rPr>
      <w:sz w:val="20"/>
      <w:szCs w:val="20"/>
    </w:rPr>
  </w:style>
  <w:style w:type="paragraph" w:styleId="a8">
    <w:name w:val="Balloon Text"/>
    <w:basedOn w:val="a"/>
    <w:link w:val="a9"/>
    <w:uiPriority w:val="99"/>
    <w:semiHidden/>
    <w:unhideWhenUsed/>
    <w:rsid w:val="0000173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017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68474">
      <w:bodyDiv w:val="1"/>
      <w:marLeft w:val="0"/>
      <w:marRight w:val="0"/>
      <w:marTop w:val="0"/>
      <w:marBottom w:val="0"/>
      <w:divBdr>
        <w:top w:val="none" w:sz="0" w:space="0" w:color="auto"/>
        <w:left w:val="none" w:sz="0" w:space="0" w:color="auto"/>
        <w:bottom w:val="none" w:sz="0" w:space="0" w:color="auto"/>
        <w:right w:val="none" w:sz="0" w:space="0" w:color="auto"/>
      </w:divBdr>
    </w:div>
    <w:div w:id="1047484132">
      <w:bodyDiv w:val="1"/>
      <w:marLeft w:val="0"/>
      <w:marRight w:val="0"/>
      <w:marTop w:val="0"/>
      <w:marBottom w:val="0"/>
      <w:divBdr>
        <w:top w:val="none" w:sz="0" w:space="0" w:color="auto"/>
        <w:left w:val="none" w:sz="0" w:space="0" w:color="auto"/>
        <w:bottom w:val="none" w:sz="0" w:space="0" w:color="auto"/>
        <w:right w:val="none" w:sz="0" w:space="0" w:color="auto"/>
      </w:divBdr>
      <w:divsChild>
        <w:div w:id="1903906019">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2020-08-17T01:10:00Z</cp:lastPrinted>
  <dcterms:created xsi:type="dcterms:W3CDTF">2020-08-20T08:51:00Z</dcterms:created>
  <dcterms:modified xsi:type="dcterms:W3CDTF">2020-08-20T08:51:00Z</dcterms:modified>
</cp:coreProperties>
</file>