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920E8" w14:textId="77777777" w:rsidR="0068262F" w:rsidRPr="003E24F0" w:rsidRDefault="0068262F" w:rsidP="00217F70">
      <w:pPr>
        <w:spacing w:line="440" w:lineRule="exact"/>
        <w:jc w:val="center"/>
        <w:rPr>
          <w:rFonts w:ascii="Times New Roman" w:eastAsia="標楷體" w:hAnsi="Times New Roman"/>
          <w:color w:val="000000" w:themeColor="text1"/>
          <w:sz w:val="32"/>
        </w:rPr>
      </w:pPr>
    </w:p>
    <w:p w14:paraId="4F34BF03" w14:textId="15B9F70E" w:rsidR="00CC5623" w:rsidRPr="003E24F0" w:rsidRDefault="00997276" w:rsidP="003C63F4">
      <w:pPr>
        <w:spacing w:line="440" w:lineRule="exact"/>
        <w:rPr>
          <w:rFonts w:ascii="Times New Roman" w:eastAsia="標楷體" w:hAnsi="Times New Roman"/>
          <w:b/>
          <w:bCs/>
          <w:color w:val="000000" w:themeColor="text1"/>
          <w:sz w:val="32"/>
        </w:rPr>
      </w:pPr>
      <w:r w:rsidRPr="003E24F0">
        <w:rPr>
          <w:rFonts w:ascii="Times New Roman" w:eastAsia="標楷體" w:hAnsi="Times New Roman"/>
          <w:b/>
          <w:bCs/>
          <w:color w:val="000000" w:themeColor="text1"/>
          <w:sz w:val="32"/>
        </w:rPr>
        <w:t>Kaohsiung Medical University Guidelines for Faculty and Staff Clubs</w:t>
      </w:r>
    </w:p>
    <w:p w14:paraId="083BDBE7" w14:textId="77777777" w:rsidR="007A1EC3" w:rsidRPr="003E24F0" w:rsidRDefault="007A1EC3" w:rsidP="007A1EC3">
      <w:pPr>
        <w:spacing w:line="240" w:lineRule="exact"/>
        <w:jc w:val="right"/>
        <w:rPr>
          <w:rFonts w:ascii="Times New Roman" w:eastAsia="標楷體" w:hAnsi="Times New Roman" w:cs="CIDFont+F2"/>
          <w:color w:val="000000" w:themeColor="text1"/>
          <w:kern w:val="0"/>
          <w:sz w:val="20"/>
          <w:szCs w:val="20"/>
        </w:rPr>
      </w:pPr>
    </w:p>
    <w:p w14:paraId="3B4B6DDB" w14:textId="1FCE16E4" w:rsidR="00154356" w:rsidRPr="003E24F0" w:rsidRDefault="00154356" w:rsidP="00154356">
      <w:pPr>
        <w:tabs>
          <w:tab w:val="left" w:pos="10067"/>
        </w:tabs>
        <w:snapToGrid w:val="0"/>
        <w:spacing w:line="0" w:lineRule="atLeast"/>
        <w:ind w:rightChars="13" w:right="31"/>
        <w:jc w:val="right"/>
        <w:rPr>
          <w:rFonts w:ascii="Times New Roman" w:eastAsia="標楷體" w:hAnsi="Times New Roman"/>
          <w:kern w:val="0"/>
          <w:sz w:val="16"/>
          <w:szCs w:val="16"/>
        </w:rPr>
      </w:pPr>
      <w:r w:rsidRPr="003E24F0">
        <w:rPr>
          <w:rFonts w:ascii="Times New Roman" w:eastAsia="標楷體" w:hAnsi="Times New Roman"/>
          <w:kern w:val="0"/>
          <w:sz w:val="16"/>
          <w:szCs w:val="16"/>
        </w:rPr>
        <w:t>2025</w:t>
      </w:r>
      <w:r w:rsidRPr="003E24F0">
        <w:rPr>
          <w:rFonts w:ascii="Times New Roman" w:eastAsia="標楷體" w:hAnsi="Times New Roman" w:hint="eastAsia"/>
          <w:kern w:val="0"/>
          <w:sz w:val="16"/>
          <w:szCs w:val="16"/>
        </w:rPr>
        <w:t>.0</w:t>
      </w:r>
      <w:r w:rsidRPr="003E24F0">
        <w:rPr>
          <w:rFonts w:ascii="Times New Roman" w:eastAsia="標楷體" w:hAnsi="Times New Roman"/>
          <w:kern w:val="0"/>
          <w:sz w:val="16"/>
          <w:szCs w:val="16"/>
        </w:rPr>
        <w:t>5</w:t>
      </w:r>
      <w:r w:rsidRPr="003E24F0">
        <w:rPr>
          <w:rFonts w:ascii="Times New Roman" w:eastAsia="標楷體" w:hAnsi="Times New Roman" w:hint="eastAsia"/>
          <w:kern w:val="0"/>
          <w:sz w:val="16"/>
          <w:szCs w:val="16"/>
        </w:rPr>
        <w:t>.</w:t>
      </w:r>
      <w:r w:rsidRPr="003E24F0">
        <w:rPr>
          <w:rFonts w:ascii="Times New Roman" w:eastAsia="標楷體" w:hAnsi="Times New Roman"/>
          <w:kern w:val="0"/>
          <w:sz w:val="16"/>
          <w:szCs w:val="16"/>
        </w:rPr>
        <w:t>14</w:t>
      </w:r>
      <w:r w:rsidRPr="003E24F0">
        <w:rPr>
          <w:rFonts w:ascii="Times New Roman" w:eastAsia="標楷體" w:hAnsi="Times New Roman" w:hint="eastAsia"/>
          <w:kern w:val="0"/>
          <w:sz w:val="16"/>
          <w:szCs w:val="16"/>
        </w:rPr>
        <w:t xml:space="preserve"> </w:t>
      </w:r>
      <w:r w:rsidRPr="003E24F0">
        <w:rPr>
          <w:rFonts w:ascii="Times New Roman" w:eastAsia="Arial" w:hAnsi="Times New Roman"/>
          <w:sz w:val="16"/>
          <w:szCs w:val="16"/>
        </w:rPr>
        <w:t xml:space="preserve">Reviewed and passed in the 10th </w:t>
      </w:r>
      <w:r w:rsidR="003E24F0">
        <w:rPr>
          <w:rFonts w:ascii="Times New Roman" w:eastAsia="Arial" w:hAnsi="Times New Roman"/>
          <w:sz w:val="16"/>
          <w:szCs w:val="16"/>
        </w:rPr>
        <w:t xml:space="preserve">Administrative Meeting </w:t>
      </w:r>
      <w:r w:rsidRPr="003E24F0">
        <w:rPr>
          <w:rFonts w:ascii="Times New Roman" w:eastAsia="Arial" w:hAnsi="Times New Roman"/>
          <w:sz w:val="16"/>
          <w:szCs w:val="16"/>
        </w:rPr>
        <w:t>of the 113rd academic year</w:t>
      </w:r>
    </w:p>
    <w:p w14:paraId="0CB11881" w14:textId="16AE1A34" w:rsidR="0066436F" w:rsidRDefault="00154356" w:rsidP="00154356">
      <w:pPr>
        <w:spacing w:line="240" w:lineRule="exact"/>
        <w:jc w:val="right"/>
        <w:rPr>
          <w:rFonts w:ascii="Times New Roman" w:eastAsia="Arial" w:hAnsi="Times New Roman"/>
          <w:sz w:val="16"/>
          <w:szCs w:val="16"/>
        </w:rPr>
      </w:pPr>
      <w:r w:rsidRPr="003E24F0">
        <w:rPr>
          <w:rFonts w:ascii="Times New Roman" w:eastAsia="標楷體" w:hAnsi="Times New Roman"/>
          <w:kern w:val="0"/>
          <w:sz w:val="16"/>
          <w:szCs w:val="16"/>
        </w:rPr>
        <w:t>2025</w:t>
      </w:r>
      <w:r w:rsidRPr="003E24F0">
        <w:rPr>
          <w:rFonts w:ascii="Times New Roman" w:eastAsia="標楷體" w:hAnsi="Times New Roman" w:hint="eastAsia"/>
          <w:kern w:val="0"/>
          <w:sz w:val="16"/>
          <w:szCs w:val="16"/>
        </w:rPr>
        <w:t>.0</w:t>
      </w:r>
      <w:r w:rsidRPr="003E24F0">
        <w:rPr>
          <w:rFonts w:ascii="Times New Roman" w:eastAsia="標楷體" w:hAnsi="Times New Roman"/>
          <w:kern w:val="0"/>
          <w:sz w:val="16"/>
          <w:szCs w:val="16"/>
        </w:rPr>
        <w:t>9</w:t>
      </w:r>
      <w:r w:rsidRPr="003E24F0">
        <w:rPr>
          <w:rFonts w:ascii="Times New Roman" w:eastAsia="標楷體" w:hAnsi="Times New Roman" w:hint="eastAsia"/>
          <w:kern w:val="0"/>
          <w:sz w:val="16"/>
          <w:szCs w:val="16"/>
        </w:rPr>
        <w:t>.1</w:t>
      </w:r>
      <w:r w:rsidRPr="003E24F0">
        <w:rPr>
          <w:rFonts w:ascii="Times New Roman" w:eastAsia="標楷體" w:hAnsi="Times New Roman"/>
          <w:kern w:val="0"/>
          <w:sz w:val="16"/>
          <w:szCs w:val="16"/>
        </w:rPr>
        <w:t xml:space="preserve">8 </w:t>
      </w:r>
      <w:r w:rsidRPr="003E24F0">
        <w:rPr>
          <w:rFonts w:ascii="Times New Roman" w:eastAsia="Arial" w:hAnsi="Times New Roman"/>
          <w:sz w:val="16"/>
          <w:szCs w:val="16"/>
        </w:rPr>
        <w:t>Reviewed and passed in the 11th Meeting of the 20th Board of Directors</w:t>
      </w:r>
    </w:p>
    <w:p w14:paraId="3030001A" w14:textId="0BBBF17B" w:rsidR="003E24F0" w:rsidRPr="003E24F0" w:rsidRDefault="003E24F0" w:rsidP="003E24F0">
      <w:pPr>
        <w:wordWrap w:val="0"/>
        <w:spacing w:line="240" w:lineRule="exact"/>
        <w:jc w:val="right"/>
        <w:rPr>
          <w:rFonts w:ascii="Times New Roman" w:hAnsi="Times New Roman" w:cs="CIDFont+F2" w:hint="eastAsia"/>
          <w:color w:val="000000" w:themeColor="text1"/>
          <w:kern w:val="0"/>
          <w:sz w:val="20"/>
          <w:szCs w:val="20"/>
        </w:rPr>
      </w:pPr>
      <w:r>
        <w:rPr>
          <w:rFonts w:ascii="Times New Roman" w:hAnsi="Times New Roman" w:hint="eastAsia"/>
          <w:sz w:val="16"/>
          <w:szCs w:val="16"/>
        </w:rPr>
        <w:t>2</w:t>
      </w:r>
      <w:r>
        <w:rPr>
          <w:rFonts w:ascii="Times New Roman" w:hAnsi="Times New Roman"/>
          <w:sz w:val="16"/>
          <w:szCs w:val="16"/>
        </w:rPr>
        <w:t xml:space="preserve">025.10.21 </w:t>
      </w:r>
      <w:r w:rsidR="00B9059E">
        <w:rPr>
          <w:rFonts w:ascii="Times New Roman" w:eastAsia="Arial" w:hAnsi="Times New Roman" w:cs="Times New Roman"/>
          <w:kern w:val="0"/>
          <w:sz w:val="16"/>
          <w:szCs w:val="16"/>
        </w:rPr>
        <w:t>Announced in the GaoYiRenZi No.</w:t>
      </w:r>
      <w:r w:rsidR="00B9059E">
        <w:rPr>
          <w:rFonts w:ascii="Times New Roman" w:eastAsia="Arial" w:hAnsi="Times New Roman" w:cs="Times New Roman"/>
          <w:kern w:val="0"/>
          <w:sz w:val="16"/>
          <w:szCs w:val="16"/>
        </w:rPr>
        <w:t>1141103703 Letter</w:t>
      </w:r>
    </w:p>
    <w:p w14:paraId="63795A40" w14:textId="77777777" w:rsidR="00154356" w:rsidRPr="003E24F0" w:rsidRDefault="00154356" w:rsidP="00154356">
      <w:pPr>
        <w:spacing w:line="240" w:lineRule="exact"/>
        <w:jc w:val="right"/>
        <w:rPr>
          <w:rFonts w:ascii="Times New Roman" w:eastAsia="標楷體" w:hAnsi="Times New Roman" w:cs="CIDFont+F2"/>
          <w:color w:val="000000" w:themeColor="text1"/>
          <w:kern w:val="0"/>
          <w:sz w:val="20"/>
          <w:szCs w:val="20"/>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8357"/>
      </w:tblGrid>
      <w:tr w:rsidR="00154356" w:rsidRPr="003E24F0" w14:paraId="3DCB0642" w14:textId="77777777" w:rsidTr="007674AA">
        <w:tc>
          <w:tcPr>
            <w:tcW w:w="1271" w:type="dxa"/>
          </w:tcPr>
          <w:p w14:paraId="1CBC5C1D" w14:textId="586C2253" w:rsidR="00154356" w:rsidRPr="003E24F0" w:rsidRDefault="00154356" w:rsidP="00154356">
            <w:pPr>
              <w:spacing w:line="400" w:lineRule="exact"/>
              <w:rPr>
                <w:rFonts w:ascii="Times New Roman" w:eastAsia="標楷體" w:hAnsi="Times New Roman"/>
                <w:b/>
                <w:bCs/>
                <w:color w:val="000000" w:themeColor="text1"/>
                <w:sz w:val="28"/>
              </w:rPr>
            </w:pPr>
            <w:r w:rsidRPr="003E24F0">
              <w:rPr>
                <w:rStyle w:val="a9"/>
                <w:rFonts w:ascii="Times New Roman" w:eastAsia="標楷體" w:hAnsi="Times New Roman"/>
                <w:b w:val="0"/>
                <w:bCs w:val="0"/>
              </w:rPr>
              <w:t>Article 1</w:t>
            </w:r>
          </w:p>
        </w:tc>
        <w:tc>
          <w:tcPr>
            <w:tcW w:w="8357" w:type="dxa"/>
          </w:tcPr>
          <w:p w14:paraId="0126850D" w14:textId="6D9A5E03" w:rsidR="00154356" w:rsidRPr="003E24F0" w:rsidRDefault="00154356" w:rsidP="00154356">
            <w:pPr>
              <w:spacing w:line="400" w:lineRule="exact"/>
              <w:rPr>
                <w:rFonts w:ascii="Times New Roman" w:eastAsia="標楷體" w:hAnsi="Times New Roman"/>
                <w:color w:val="000000" w:themeColor="text1"/>
                <w:sz w:val="28"/>
              </w:rPr>
            </w:pPr>
            <w:r w:rsidRPr="003E24F0">
              <w:rPr>
                <w:rFonts w:ascii="Times New Roman" w:eastAsia="標楷體" w:hAnsi="Times New Roman"/>
              </w:rPr>
              <w:t>To promote wholesome leisure activities among faculty and staff, thereby enhancing physical and mental well-being, fostering interpersonal relationships, cultivating team spirit, and strengthening sustainability literacy, these Guidelines are hereby established.</w:t>
            </w:r>
          </w:p>
        </w:tc>
      </w:tr>
      <w:tr w:rsidR="00154356" w:rsidRPr="003E24F0" w14:paraId="57EFAC90" w14:textId="77777777" w:rsidTr="007674AA">
        <w:tc>
          <w:tcPr>
            <w:tcW w:w="1271" w:type="dxa"/>
          </w:tcPr>
          <w:p w14:paraId="30BBF735" w14:textId="69A15086" w:rsidR="00154356" w:rsidRPr="003E24F0" w:rsidRDefault="00154356" w:rsidP="00154356">
            <w:pPr>
              <w:spacing w:line="400" w:lineRule="exact"/>
              <w:rPr>
                <w:rFonts w:ascii="Times New Roman" w:eastAsia="標楷體" w:hAnsi="Times New Roman"/>
                <w:b/>
                <w:bCs/>
                <w:color w:val="000000" w:themeColor="text1"/>
                <w:sz w:val="28"/>
              </w:rPr>
            </w:pPr>
            <w:r w:rsidRPr="003E24F0">
              <w:rPr>
                <w:rStyle w:val="a9"/>
                <w:rFonts w:ascii="Times New Roman" w:eastAsia="標楷體" w:hAnsi="Times New Roman"/>
                <w:b w:val="0"/>
                <w:bCs w:val="0"/>
              </w:rPr>
              <w:t>Article 2</w:t>
            </w:r>
          </w:p>
        </w:tc>
        <w:tc>
          <w:tcPr>
            <w:tcW w:w="8357" w:type="dxa"/>
          </w:tcPr>
          <w:p w14:paraId="31117E6D" w14:textId="77777777" w:rsidR="00154356" w:rsidRPr="003E24F0" w:rsidRDefault="00154356" w:rsidP="00154356">
            <w:pPr>
              <w:pStyle w:val="Web"/>
              <w:spacing w:before="0" w:beforeAutospacing="0" w:after="0" w:afterAutospacing="0" w:line="400" w:lineRule="exact"/>
              <w:rPr>
                <w:rFonts w:ascii="Times New Roman" w:eastAsia="標楷體" w:hAnsi="Times New Roman"/>
              </w:rPr>
            </w:pPr>
            <w:r w:rsidRPr="003E24F0">
              <w:rPr>
                <w:rFonts w:ascii="Times New Roman" w:eastAsia="標楷體" w:hAnsi="Times New Roman"/>
              </w:rPr>
              <w:t xml:space="preserve">To handle matters related to faculty and staff clubs, the University establishes a </w:t>
            </w:r>
            <w:r w:rsidRPr="003E24F0">
              <w:rPr>
                <w:rStyle w:val="aa"/>
                <w:rFonts w:ascii="Times New Roman" w:eastAsia="標楷體" w:hAnsi="Times New Roman"/>
                <w:i w:val="0"/>
                <w:iCs w:val="0"/>
              </w:rPr>
              <w:t>Faculty and Staff Club Review Committee</w:t>
            </w:r>
            <w:r w:rsidRPr="003E24F0">
              <w:rPr>
                <w:rFonts w:ascii="Times New Roman" w:eastAsia="標楷體" w:hAnsi="Times New Roman"/>
              </w:rPr>
              <w:t xml:space="preserve"> (hereinafter referred to as “the Committee”), which shall consist of five members as follows:</w:t>
            </w:r>
          </w:p>
          <w:p w14:paraId="072BDEF6" w14:textId="69DE751C" w:rsidR="00154356" w:rsidRPr="003E24F0" w:rsidRDefault="002B02F0" w:rsidP="00154356">
            <w:pPr>
              <w:pStyle w:val="Web"/>
              <w:numPr>
                <w:ilvl w:val="0"/>
                <w:numId w:val="15"/>
              </w:numPr>
              <w:spacing w:before="0" w:beforeAutospacing="0" w:after="0" w:afterAutospacing="0" w:line="400" w:lineRule="exact"/>
              <w:ind w:left="321" w:hanging="357"/>
              <w:rPr>
                <w:rFonts w:ascii="Times New Roman" w:eastAsia="標楷體" w:hAnsi="Times New Roman"/>
              </w:rPr>
            </w:pPr>
            <w:r w:rsidRPr="003E24F0">
              <w:rPr>
                <w:rFonts w:ascii="Times New Roman" w:eastAsia="標楷體" w:hAnsi="Times New Roman"/>
              </w:rPr>
              <w:t xml:space="preserve">Senior </w:t>
            </w:r>
            <w:r w:rsidR="00154356" w:rsidRPr="003E24F0">
              <w:rPr>
                <w:rFonts w:ascii="Times New Roman" w:eastAsia="標楷體" w:hAnsi="Times New Roman"/>
              </w:rPr>
              <w:t>Vice President (serving concurrently as the Convener)</w:t>
            </w:r>
          </w:p>
          <w:p w14:paraId="39154228" w14:textId="75A3D65A" w:rsidR="00154356" w:rsidRPr="003E24F0" w:rsidRDefault="00154356" w:rsidP="00154356">
            <w:pPr>
              <w:pStyle w:val="Web"/>
              <w:numPr>
                <w:ilvl w:val="0"/>
                <w:numId w:val="15"/>
              </w:numPr>
              <w:spacing w:before="0" w:beforeAutospacing="0" w:after="0" w:afterAutospacing="0" w:line="400" w:lineRule="exact"/>
              <w:ind w:left="321"/>
              <w:rPr>
                <w:rFonts w:ascii="Times New Roman" w:eastAsia="標楷體" w:hAnsi="Times New Roman"/>
              </w:rPr>
            </w:pPr>
            <w:r w:rsidRPr="003E24F0">
              <w:rPr>
                <w:rFonts w:ascii="Times New Roman" w:eastAsia="標楷體" w:hAnsi="Times New Roman"/>
              </w:rPr>
              <w:t>Director of the Office of Environmental Protection, Occupational Safety and Health</w:t>
            </w:r>
          </w:p>
          <w:p w14:paraId="7F97DA9C" w14:textId="3447F0A1" w:rsidR="00154356" w:rsidRPr="003E24F0" w:rsidRDefault="00154356" w:rsidP="00154356">
            <w:pPr>
              <w:pStyle w:val="Web"/>
              <w:numPr>
                <w:ilvl w:val="0"/>
                <w:numId w:val="15"/>
              </w:numPr>
              <w:spacing w:before="0" w:beforeAutospacing="0" w:after="0" w:afterAutospacing="0" w:line="400" w:lineRule="exact"/>
              <w:ind w:left="321"/>
              <w:rPr>
                <w:rFonts w:ascii="Times New Roman" w:eastAsia="標楷體" w:hAnsi="Times New Roman"/>
              </w:rPr>
            </w:pPr>
            <w:r w:rsidRPr="003E24F0">
              <w:rPr>
                <w:rFonts w:ascii="Times New Roman" w:eastAsia="標楷體" w:hAnsi="Times New Roman"/>
              </w:rPr>
              <w:t>Director of the Physical Education Center</w:t>
            </w:r>
          </w:p>
          <w:p w14:paraId="7FAA89F4" w14:textId="36E7E8BC" w:rsidR="00154356" w:rsidRPr="003E24F0" w:rsidRDefault="00154356" w:rsidP="00154356">
            <w:pPr>
              <w:pStyle w:val="Web"/>
              <w:numPr>
                <w:ilvl w:val="0"/>
                <w:numId w:val="15"/>
              </w:numPr>
              <w:spacing w:before="0" w:beforeAutospacing="0" w:after="0" w:afterAutospacing="0" w:line="400" w:lineRule="exact"/>
              <w:ind w:left="321"/>
              <w:rPr>
                <w:rFonts w:ascii="Times New Roman" w:eastAsia="標楷體" w:hAnsi="Times New Roman"/>
              </w:rPr>
            </w:pPr>
            <w:r w:rsidRPr="003E24F0">
              <w:rPr>
                <w:rFonts w:ascii="Times New Roman" w:eastAsia="標楷體" w:hAnsi="Times New Roman"/>
              </w:rPr>
              <w:t xml:space="preserve">Director of the Accounting Office </w:t>
            </w:r>
          </w:p>
          <w:p w14:paraId="36077A68" w14:textId="132D77C8" w:rsidR="00154356" w:rsidRPr="003E24F0" w:rsidRDefault="00154356" w:rsidP="00154356">
            <w:pPr>
              <w:pStyle w:val="Web"/>
              <w:numPr>
                <w:ilvl w:val="0"/>
                <w:numId w:val="15"/>
              </w:numPr>
              <w:spacing w:before="0" w:beforeAutospacing="0" w:after="0" w:afterAutospacing="0" w:line="400" w:lineRule="exact"/>
              <w:ind w:left="317" w:hanging="357"/>
              <w:rPr>
                <w:rFonts w:ascii="Times New Roman" w:eastAsia="標楷體" w:hAnsi="Times New Roman"/>
                <w:color w:val="000000" w:themeColor="text1"/>
                <w:sz w:val="28"/>
              </w:rPr>
            </w:pPr>
            <w:r w:rsidRPr="003E24F0">
              <w:rPr>
                <w:rFonts w:ascii="Times New Roman" w:eastAsia="標楷體" w:hAnsi="Times New Roman"/>
              </w:rPr>
              <w:t xml:space="preserve">Director of the Human Resources Office </w:t>
            </w:r>
          </w:p>
        </w:tc>
      </w:tr>
      <w:tr w:rsidR="00154356" w:rsidRPr="003E24F0" w14:paraId="486932BA" w14:textId="77777777" w:rsidTr="007674AA">
        <w:tc>
          <w:tcPr>
            <w:tcW w:w="1271" w:type="dxa"/>
          </w:tcPr>
          <w:p w14:paraId="20BC06C7" w14:textId="486F52FD" w:rsidR="00154356" w:rsidRPr="003E24F0" w:rsidRDefault="00154356" w:rsidP="00154356">
            <w:pPr>
              <w:spacing w:line="400" w:lineRule="exact"/>
              <w:rPr>
                <w:rFonts w:ascii="Times New Roman" w:eastAsia="標楷體" w:hAnsi="Times New Roman"/>
                <w:b/>
                <w:bCs/>
                <w:color w:val="000000" w:themeColor="text1"/>
                <w:sz w:val="28"/>
              </w:rPr>
            </w:pPr>
            <w:r w:rsidRPr="003E24F0">
              <w:rPr>
                <w:rStyle w:val="a9"/>
                <w:rFonts w:ascii="Times New Roman" w:eastAsia="標楷體" w:hAnsi="Times New Roman"/>
                <w:b w:val="0"/>
                <w:bCs w:val="0"/>
              </w:rPr>
              <w:t>Article 3</w:t>
            </w:r>
          </w:p>
        </w:tc>
        <w:tc>
          <w:tcPr>
            <w:tcW w:w="8357" w:type="dxa"/>
          </w:tcPr>
          <w:p w14:paraId="2B0EF3F9" w14:textId="77777777" w:rsidR="00154356" w:rsidRPr="003E24F0" w:rsidRDefault="00154356" w:rsidP="00154356">
            <w:pPr>
              <w:pStyle w:val="Web"/>
              <w:spacing w:before="0" w:beforeAutospacing="0" w:after="0" w:afterAutospacing="0" w:line="420" w:lineRule="exact"/>
              <w:rPr>
                <w:rStyle w:val="a9"/>
                <w:rFonts w:ascii="Times New Roman" w:hAnsi="Times New Roman"/>
                <w:b w:val="0"/>
                <w:bCs w:val="0"/>
              </w:rPr>
            </w:pPr>
            <w:r w:rsidRPr="003E24F0">
              <w:rPr>
                <w:rStyle w:val="a9"/>
                <w:rFonts w:ascii="Times New Roman" w:eastAsia="標楷體" w:hAnsi="Times New Roman"/>
                <w:b w:val="0"/>
                <w:bCs w:val="0"/>
              </w:rPr>
              <w:t>Establishment and Participation of Clubs:</w:t>
            </w:r>
          </w:p>
          <w:p w14:paraId="6AEBBF74" w14:textId="0A6A9B9D" w:rsidR="00154356" w:rsidRPr="003E24F0" w:rsidRDefault="00154356" w:rsidP="00916C96">
            <w:pPr>
              <w:pStyle w:val="Web"/>
              <w:numPr>
                <w:ilvl w:val="0"/>
                <w:numId w:val="18"/>
              </w:numPr>
              <w:tabs>
                <w:tab w:val="clear" w:pos="720"/>
              </w:tabs>
              <w:spacing w:before="0" w:beforeAutospacing="0" w:after="0" w:afterAutospacing="0" w:line="400" w:lineRule="exact"/>
              <w:ind w:left="321"/>
              <w:rPr>
                <w:rFonts w:ascii="Times New Roman" w:eastAsia="標楷體" w:hAnsi="Times New Roman"/>
              </w:rPr>
            </w:pPr>
            <w:r w:rsidRPr="003E24F0">
              <w:rPr>
                <w:rFonts w:ascii="Times New Roman" w:eastAsia="標楷體" w:hAnsi="Times New Roman"/>
              </w:rPr>
              <w:t xml:space="preserve">A club shall be initiated by at least </w:t>
            </w:r>
            <w:r w:rsidR="007110FC" w:rsidRPr="003E24F0">
              <w:rPr>
                <w:rFonts w:ascii="Times New Roman" w:eastAsia="標楷體" w:hAnsi="Times New Roman"/>
              </w:rPr>
              <w:t>ten</w:t>
            </w:r>
            <w:r w:rsidRPr="003E24F0">
              <w:rPr>
                <w:rFonts w:ascii="Times New Roman" w:eastAsia="標楷體" w:hAnsi="Times New Roman"/>
              </w:rPr>
              <w:t xml:space="preserve"> current faculty or staff members of the University. The initiators shall convene a preparatory meeting, establish the club’s charter, draft an annual activity plan, and prepare a budget plan. These documents, along with the club establishment application and membership list, shall be submitted to the</w:t>
            </w:r>
            <w:r w:rsidR="002A3B64" w:rsidRPr="003E24F0">
              <w:rPr>
                <w:rFonts w:ascii="Times New Roman" w:eastAsia="標楷體" w:hAnsi="Times New Roman"/>
              </w:rPr>
              <w:t xml:space="preserve"> </w:t>
            </w:r>
            <w:r w:rsidRPr="003E24F0">
              <w:rPr>
                <w:rFonts w:ascii="Times New Roman" w:eastAsia="標楷體" w:hAnsi="Times New Roman"/>
              </w:rPr>
              <w:t xml:space="preserve">Human Resources </w:t>
            </w:r>
            <w:r w:rsidR="002A3B64" w:rsidRPr="003E24F0">
              <w:rPr>
                <w:rFonts w:ascii="Times New Roman" w:eastAsia="標楷體" w:hAnsi="Times New Roman"/>
              </w:rPr>
              <w:t xml:space="preserve">Office </w:t>
            </w:r>
            <w:r w:rsidRPr="003E24F0">
              <w:rPr>
                <w:rFonts w:ascii="Times New Roman" w:eastAsia="標楷體" w:hAnsi="Times New Roman"/>
              </w:rPr>
              <w:t>for review. The club shall be officially established upon approval by the Committee.</w:t>
            </w:r>
          </w:p>
          <w:p w14:paraId="711CA592" w14:textId="48D79D9D" w:rsidR="00154356" w:rsidRPr="003E24F0" w:rsidRDefault="00154356" w:rsidP="00916C96">
            <w:pPr>
              <w:pStyle w:val="Web"/>
              <w:numPr>
                <w:ilvl w:val="0"/>
                <w:numId w:val="18"/>
              </w:numPr>
              <w:tabs>
                <w:tab w:val="clear" w:pos="720"/>
              </w:tabs>
              <w:spacing w:before="0" w:beforeAutospacing="0" w:after="0" w:afterAutospacing="0" w:line="400" w:lineRule="exact"/>
              <w:ind w:left="321"/>
              <w:rPr>
                <w:rFonts w:ascii="Times New Roman" w:eastAsia="標楷體" w:hAnsi="Times New Roman"/>
              </w:rPr>
            </w:pPr>
            <w:r w:rsidRPr="003E24F0">
              <w:rPr>
                <w:rFonts w:ascii="Times New Roman" w:eastAsia="標楷體" w:hAnsi="Times New Roman"/>
              </w:rPr>
              <w:t xml:space="preserve">Each club shall have one president and several </w:t>
            </w:r>
            <w:r w:rsidR="00453C52" w:rsidRPr="003E24F0">
              <w:rPr>
                <w:rFonts w:ascii="Times New Roman" w:eastAsia="標楷體" w:hAnsi="Times New Roman"/>
              </w:rPr>
              <w:t>executives</w:t>
            </w:r>
            <w:r w:rsidRPr="003E24F0">
              <w:rPr>
                <w:rFonts w:ascii="Times New Roman" w:eastAsia="標楷體" w:hAnsi="Times New Roman"/>
              </w:rPr>
              <w:t>, elected by the members for a one-year term. Presidents may be re-elected, but may serve as president of only one club at a time. The president and officers shall be responsible for planning and managing meetings, courses, activities, competitions, and financial affairs of the club.</w:t>
            </w:r>
          </w:p>
          <w:p w14:paraId="685CBA6F" w14:textId="7308C98C" w:rsidR="00154356" w:rsidRPr="003E24F0" w:rsidRDefault="00154356" w:rsidP="00916C96">
            <w:pPr>
              <w:pStyle w:val="Web"/>
              <w:numPr>
                <w:ilvl w:val="0"/>
                <w:numId w:val="18"/>
              </w:numPr>
              <w:tabs>
                <w:tab w:val="clear" w:pos="720"/>
              </w:tabs>
              <w:spacing w:before="0" w:beforeAutospacing="0" w:after="0" w:afterAutospacing="0" w:line="400" w:lineRule="exact"/>
              <w:ind w:left="321"/>
              <w:rPr>
                <w:rFonts w:ascii="Times New Roman" w:eastAsia="標楷體" w:hAnsi="Times New Roman"/>
              </w:rPr>
            </w:pPr>
            <w:r w:rsidRPr="003E24F0">
              <w:rPr>
                <w:rFonts w:ascii="Times New Roman" w:eastAsia="標楷體" w:hAnsi="Times New Roman"/>
              </w:rPr>
              <w:t>Club members may include current or retired faculty and staff of the University, provided that current faculty and staff shall constitute no less than two-thirds of the total membership.</w:t>
            </w:r>
          </w:p>
        </w:tc>
      </w:tr>
      <w:tr w:rsidR="00154356" w:rsidRPr="003E24F0" w14:paraId="4162355F" w14:textId="77777777" w:rsidTr="007674AA">
        <w:tc>
          <w:tcPr>
            <w:tcW w:w="1271" w:type="dxa"/>
          </w:tcPr>
          <w:p w14:paraId="06CBF3D3" w14:textId="2BE6DA4A" w:rsidR="00154356" w:rsidRPr="003E24F0" w:rsidRDefault="006A540B" w:rsidP="00154356">
            <w:pPr>
              <w:spacing w:line="400" w:lineRule="exact"/>
              <w:rPr>
                <w:rFonts w:ascii="Times New Roman" w:eastAsia="標楷體" w:hAnsi="Times New Roman"/>
                <w:b/>
                <w:bCs/>
                <w:color w:val="000000" w:themeColor="text1"/>
                <w:sz w:val="28"/>
              </w:rPr>
            </w:pPr>
            <w:r w:rsidRPr="003E24F0">
              <w:rPr>
                <w:rStyle w:val="a9"/>
                <w:rFonts w:ascii="Times New Roman" w:eastAsia="標楷體" w:hAnsi="Times New Roman"/>
                <w:b w:val="0"/>
                <w:bCs w:val="0"/>
              </w:rPr>
              <w:t>Article 4</w:t>
            </w:r>
          </w:p>
        </w:tc>
        <w:tc>
          <w:tcPr>
            <w:tcW w:w="8357" w:type="dxa"/>
          </w:tcPr>
          <w:p w14:paraId="0AD0B0CC" w14:textId="2AAB7CDF" w:rsidR="00154356" w:rsidRPr="003E24F0" w:rsidRDefault="006A540B" w:rsidP="006A540B">
            <w:pPr>
              <w:pStyle w:val="Web"/>
              <w:rPr>
                <w:rStyle w:val="a9"/>
                <w:rFonts w:ascii="Times New Roman" w:eastAsia="標楷體" w:hAnsi="Times New Roman"/>
                <w:b w:val="0"/>
                <w:bCs w:val="0"/>
              </w:rPr>
            </w:pPr>
            <w:r w:rsidRPr="003E24F0">
              <w:rPr>
                <w:rStyle w:val="a9"/>
                <w:rFonts w:ascii="Times New Roman" w:eastAsia="標楷體" w:hAnsi="Times New Roman"/>
                <w:b w:val="0"/>
                <w:bCs w:val="0"/>
              </w:rPr>
              <w:t>Nature and Operation of Clubs</w:t>
            </w:r>
            <w:r w:rsidR="00453C52" w:rsidRPr="003E24F0">
              <w:rPr>
                <w:rStyle w:val="a9"/>
                <w:rFonts w:ascii="Times New Roman" w:eastAsia="標楷體" w:hAnsi="Times New Roman" w:hint="eastAsia"/>
                <w:b w:val="0"/>
                <w:bCs w:val="0"/>
              </w:rPr>
              <w:t>:</w:t>
            </w:r>
          </w:p>
          <w:p w14:paraId="529E99A7" w14:textId="77777777" w:rsidR="00491BC7" w:rsidRPr="003E24F0" w:rsidRDefault="00491BC7" w:rsidP="00453C52">
            <w:pPr>
              <w:pStyle w:val="Web"/>
              <w:numPr>
                <w:ilvl w:val="0"/>
                <w:numId w:val="19"/>
              </w:numPr>
              <w:tabs>
                <w:tab w:val="clear" w:pos="720"/>
              </w:tabs>
              <w:spacing w:before="0" w:beforeAutospacing="0" w:after="0" w:afterAutospacing="0" w:line="400" w:lineRule="exact"/>
              <w:ind w:left="321"/>
              <w:rPr>
                <w:rFonts w:ascii="Times New Roman" w:eastAsia="標楷體" w:hAnsi="Times New Roman"/>
              </w:rPr>
            </w:pPr>
            <w:r w:rsidRPr="003E24F0">
              <w:rPr>
                <w:rFonts w:ascii="Times New Roman" w:eastAsia="標楷體" w:hAnsi="Times New Roman"/>
              </w:rPr>
              <w:lastRenderedPageBreak/>
              <w:t>Clubs may be organized for arts and culture, sports, or other social purposes, provided that their activities do not violate public order or good morals.</w:t>
            </w:r>
          </w:p>
          <w:p w14:paraId="29796FD0" w14:textId="77777777" w:rsidR="00491BC7" w:rsidRPr="003E24F0" w:rsidRDefault="00491BC7" w:rsidP="00453C52">
            <w:pPr>
              <w:pStyle w:val="Web"/>
              <w:numPr>
                <w:ilvl w:val="0"/>
                <w:numId w:val="19"/>
              </w:numPr>
              <w:tabs>
                <w:tab w:val="clear" w:pos="720"/>
              </w:tabs>
              <w:spacing w:before="0" w:beforeAutospacing="0" w:after="0" w:afterAutospacing="0" w:line="400" w:lineRule="exact"/>
              <w:ind w:left="321"/>
              <w:rPr>
                <w:rFonts w:ascii="Times New Roman" w:eastAsia="標楷體" w:hAnsi="Times New Roman"/>
              </w:rPr>
            </w:pPr>
            <w:r w:rsidRPr="003E24F0">
              <w:rPr>
                <w:rFonts w:ascii="Times New Roman" w:eastAsia="標楷體" w:hAnsi="Times New Roman"/>
              </w:rPr>
              <w:t>Activities shall, in principle, take place outside working hours. If conducted during office hours, staff members must obtain approval from their unit supervisor, and activities shall be limited to Wednesdays between 4:30 p.m. and 5:30 p.m.</w:t>
            </w:r>
          </w:p>
          <w:p w14:paraId="32C357BA" w14:textId="77777777" w:rsidR="00491BC7" w:rsidRPr="003E24F0" w:rsidRDefault="00491BC7" w:rsidP="00453C52">
            <w:pPr>
              <w:pStyle w:val="Web"/>
              <w:numPr>
                <w:ilvl w:val="0"/>
                <w:numId w:val="19"/>
              </w:numPr>
              <w:tabs>
                <w:tab w:val="clear" w:pos="720"/>
              </w:tabs>
              <w:spacing w:before="0" w:beforeAutospacing="0" w:after="0" w:afterAutospacing="0" w:line="400" w:lineRule="exact"/>
              <w:ind w:left="321"/>
              <w:rPr>
                <w:rFonts w:ascii="Times New Roman" w:eastAsia="標楷體" w:hAnsi="Times New Roman"/>
              </w:rPr>
            </w:pPr>
            <w:r w:rsidRPr="003E24F0">
              <w:rPr>
                <w:rFonts w:ascii="Times New Roman" w:eastAsia="標楷體" w:hAnsi="Times New Roman"/>
              </w:rPr>
              <w:t>Club activities may utilize University venues, facilities, and equipment in accordance with relevant regulations, provided such use does not interfere with teaching or official duties.</w:t>
            </w:r>
          </w:p>
          <w:p w14:paraId="0B095A42" w14:textId="77777777" w:rsidR="00491BC7" w:rsidRPr="003E24F0" w:rsidRDefault="00491BC7" w:rsidP="00453C52">
            <w:pPr>
              <w:pStyle w:val="Web"/>
              <w:numPr>
                <w:ilvl w:val="0"/>
                <w:numId w:val="19"/>
              </w:numPr>
              <w:tabs>
                <w:tab w:val="clear" w:pos="720"/>
              </w:tabs>
              <w:spacing w:before="0" w:beforeAutospacing="0" w:after="0" w:afterAutospacing="0" w:line="400" w:lineRule="exact"/>
              <w:ind w:left="321"/>
              <w:rPr>
                <w:rFonts w:ascii="Times New Roman" w:eastAsia="標楷體" w:hAnsi="Times New Roman"/>
              </w:rPr>
            </w:pPr>
            <w:r w:rsidRPr="003E24F0">
              <w:rPr>
                <w:rFonts w:ascii="Times New Roman" w:eastAsia="標楷體" w:hAnsi="Times New Roman"/>
              </w:rPr>
              <w:t>Club expenses shall primarily be covered by membership fees or annual dues collected from members, with the fee standards determined by each club.</w:t>
            </w:r>
          </w:p>
          <w:p w14:paraId="00D847BC" w14:textId="77777777" w:rsidR="00491BC7" w:rsidRPr="003E24F0" w:rsidRDefault="00491BC7" w:rsidP="00453C52">
            <w:pPr>
              <w:pStyle w:val="Web"/>
              <w:numPr>
                <w:ilvl w:val="0"/>
                <w:numId w:val="19"/>
              </w:numPr>
              <w:tabs>
                <w:tab w:val="clear" w:pos="720"/>
              </w:tabs>
              <w:spacing w:before="0" w:beforeAutospacing="0" w:after="0" w:afterAutospacing="0" w:line="400" w:lineRule="exact"/>
              <w:ind w:left="321"/>
              <w:rPr>
                <w:rFonts w:ascii="Times New Roman" w:eastAsia="標楷體" w:hAnsi="Times New Roman"/>
              </w:rPr>
            </w:pPr>
            <w:r w:rsidRPr="003E24F0">
              <w:rPr>
                <w:rFonts w:ascii="Times New Roman" w:eastAsia="標楷體" w:hAnsi="Times New Roman"/>
              </w:rPr>
              <w:t>The University may, depending on the budget of the academic year, provide subsidies for instructor fees, material costs, and other necessary and reasonable activity expenses. The subsidy principles are as follows:</w:t>
            </w:r>
          </w:p>
          <w:p w14:paraId="04449BCA" w14:textId="77777777" w:rsidR="00491BC7" w:rsidRPr="003E24F0" w:rsidRDefault="00491BC7" w:rsidP="00491BC7">
            <w:pPr>
              <w:pStyle w:val="Web"/>
              <w:numPr>
                <w:ilvl w:val="1"/>
                <w:numId w:val="17"/>
              </w:numPr>
              <w:ind w:left="960"/>
              <w:rPr>
                <w:rFonts w:ascii="Times New Roman" w:eastAsia="標楷體" w:hAnsi="Times New Roman"/>
              </w:rPr>
            </w:pPr>
            <w:r w:rsidRPr="003E24F0">
              <w:rPr>
                <w:rFonts w:ascii="Times New Roman" w:eastAsia="標楷體" w:hAnsi="Times New Roman"/>
              </w:rPr>
              <w:t>A maximum of ten clubs may receive subsidies each academic year.</w:t>
            </w:r>
          </w:p>
          <w:p w14:paraId="57195977" w14:textId="5513A9C2" w:rsidR="00491BC7" w:rsidRPr="003E24F0" w:rsidRDefault="00491BC7" w:rsidP="00491BC7">
            <w:pPr>
              <w:pStyle w:val="Web"/>
              <w:numPr>
                <w:ilvl w:val="1"/>
                <w:numId w:val="17"/>
              </w:numPr>
              <w:ind w:left="960"/>
              <w:rPr>
                <w:rFonts w:ascii="Times New Roman" w:eastAsia="標楷體" w:hAnsi="Times New Roman"/>
              </w:rPr>
            </w:pPr>
            <w:r w:rsidRPr="003E24F0">
              <w:rPr>
                <w:rFonts w:ascii="Times New Roman" w:eastAsia="標楷體" w:hAnsi="Times New Roman"/>
              </w:rPr>
              <w:t>Unless a club has demonstrated special achievements, the maximum subsidy per club shall be NT$6,000 per academic year. Applications for subsidies must include:</w:t>
            </w:r>
            <w:r w:rsidRPr="003E24F0">
              <w:rPr>
                <w:rFonts w:ascii="Times New Roman" w:eastAsia="標楷體" w:hAnsi="Times New Roman"/>
              </w:rPr>
              <w:br/>
              <w:t>(</w:t>
            </w:r>
            <w:r w:rsidR="002530CB" w:rsidRPr="003E24F0">
              <w:rPr>
                <w:rFonts w:ascii="Times New Roman" w:eastAsia="標楷體" w:hAnsi="Times New Roman"/>
              </w:rPr>
              <w:t>a</w:t>
            </w:r>
            <w:r w:rsidRPr="003E24F0">
              <w:rPr>
                <w:rFonts w:ascii="Times New Roman" w:eastAsia="標楷體" w:hAnsi="Times New Roman"/>
              </w:rPr>
              <w:t>) Group photos of the activity;</w:t>
            </w:r>
            <w:r w:rsidRPr="003E24F0">
              <w:rPr>
                <w:rFonts w:ascii="Times New Roman" w:eastAsia="標楷體" w:hAnsi="Times New Roman"/>
              </w:rPr>
              <w:br/>
              <w:t>(</w:t>
            </w:r>
            <w:r w:rsidR="002530CB" w:rsidRPr="003E24F0">
              <w:rPr>
                <w:rFonts w:ascii="Times New Roman" w:eastAsia="標楷體" w:hAnsi="Times New Roman"/>
              </w:rPr>
              <w:t>b</w:t>
            </w:r>
            <w:r w:rsidRPr="003E24F0">
              <w:rPr>
                <w:rFonts w:ascii="Times New Roman" w:eastAsia="標楷體" w:hAnsi="Times New Roman"/>
              </w:rPr>
              <w:t>) Activity record forms;</w:t>
            </w:r>
            <w:r w:rsidRPr="003E24F0">
              <w:rPr>
                <w:rFonts w:ascii="Times New Roman" w:eastAsia="標楷體" w:hAnsi="Times New Roman"/>
              </w:rPr>
              <w:br/>
              <w:t>(</w:t>
            </w:r>
            <w:r w:rsidR="002530CB" w:rsidRPr="003E24F0">
              <w:rPr>
                <w:rFonts w:ascii="Times New Roman" w:eastAsia="標楷體" w:hAnsi="Times New Roman"/>
              </w:rPr>
              <w:t>c</w:t>
            </w:r>
            <w:r w:rsidRPr="003E24F0">
              <w:rPr>
                <w:rFonts w:ascii="Times New Roman" w:eastAsia="標楷體" w:hAnsi="Times New Roman"/>
              </w:rPr>
              <w:t>) Activity expense application forms; and</w:t>
            </w:r>
            <w:r w:rsidRPr="003E24F0">
              <w:rPr>
                <w:rFonts w:ascii="Times New Roman" w:eastAsia="標楷體" w:hAnsi="Times New Roman"/>
              </w:rPr>
              <w:br/>
              <w:t>(</w:t>
            </w:r>
            <w:r w:rsidR="002530CB" w:rsidRPr="003E24F0">
              <w:rPr>
                <w:rFonts w:ascii="Times New Roman" w:eastAsia="標楷體" w:hAnsi="Times New Roman"/>
              </w:rPr>
              <w:t>d</w:t>
            </w:r>
            <w:r w:rsidRPr="003E24F0">
              <w:rPr>
                <w:rFonts w:ascii="Times New Roman" w:eastAsia="標楷體" w:hAnsi="Times New Roman"/>
              </w:rPr>
              <w:t>) Official uniform invoices or receipts (with the University’s name and tax ID indicated).</w:t>
            </w:r>
          </w:p>
          <w:p w14:paraId="028A21B4" w14:textId="77777777" w:rsidR="00491BC7" w:rsidRPr="003E24F0" w:rsidRDefault="00491BC7" w:rsidP="00491BC7">
            <w:pPr>
              <w:pStyle w:val="Web"/>
              <w:numPr>
                <w:ilvl w:val="1"/>
                <w:numId w:val="17"/>
              </w:numPr>
              <w:ind w:left="960"/>
              <w:rPr>
                <w:rFonts w:ascii="Times New Roman" w:eastAsia="標楷體" w:hAnsi="Times New Roman"/>
              </w:rPr>
            </w:pPr>
            <w:r w:rsidRPr="003E24F0">
              <w:rPr>
                <w:rFonts w:ascii="Times New Roman" w:eastAsia="標楷體" w:hAnsi="Times New Roman"/>
              </w:rPr>
              <w:t>Subsidy applications shall be submitted by June 30 each year to comply with the accounting closing schedule.</w:t>
            </w:r>
          </w:p>
          <w:p w14:paraId="083BA719" w14:textId="5A3F6DC1" w:rsidR="00491BC7" w:rsidRPr="003E24F0" w:rsidRDefault="00491BC7" w:rsidP="00491BC7">
            <w:pPr>
              <w:pStyle w:val="Web"/>
              <w:numPr>
                <w:ilvl w:val="1"/>
                <w:numId w:val="17"/>
              </w:numPr>
              <w:ind w:left="960"/>
              <w:rPr>
                <w:rFonts w:ascii="Times New Roman" w:eastAsia="標楷體" w:hAnsi="Times New Roman"/>
              </w:rPr>
            </w:pPr>
            <w:r w:rsidRPr="003E24F0">
              <w:rPr>
                <w:rFonts w:ascii="Times New Roman" w:eastAsia="標楷體" w:hAnsi="Times New Roman"/>
              </w:rPr>
              <w:t>Clubs that demonstrate the following achievements during the academic year may be prioritized for subsidies or receive increased funding in the following academic year, as determined by the Committee:</w:t>
            </w:r>
            <w:r w:rsidRPr="003E24F0">
              <w:rPr>
                <w:rFonts w:ascii="Times New Roman" w:eastAsia="標楷體" w:hAnsi="Times New Roman"/>
              </w:rPr>
              <w:br/>
              <w:t>(</w:t>
            </w:r>
            <w:r w:rsidR="00D87C3D" w:rsidRPr="003E24F0">
              <w:rPr>
                <w:rFonts w:ascii="Times New Roman" w:eastAsia="標楷體" w:hAnsi="Times New Roman"/>
              </w:rPr>
              <w:t>a</w:t>
            </w:r>
            <w:r w:rsidRPr="003E24F0">
              <w:rPr>
                <w:rFonts w:ascii="Times New Roman" w:eastAsia="標楷體" w:hAnsi="Times New Roman"/>
              </w:rPr>
              <w:t>) Winning awards in national or regional competitions under the University’s name;</w:t>
            </w:r>
            <w:r w:rsidRPr="003E24F0">
              <w:rPr>
                <w:rFonts w:ascii="Times New Roman" w:eastAsia="標楷體" w:hAnsi="Times New Roman"/>
              </w:rPr>
              <w:br/>
              <w:t>(</w:t>
            </w:r>
            <w:r w:rsidR="00D87C3D" w:rsidRPr="003E24F0">
              <w:rPr>
                <w:rFonts w:ascii="Times New Roman" w:eastAsia="標楷體" w:hAnsi="Times New Roman"/>
              </w:rPr>
              <w:t>b</w:t>
            </w:r>
            <w:r w:rsidRPr="003E24F0">
              <w:rPr>
                <w:rFonts w:ascii="Times New Roman" w:eastAsia="標楷體" w:hAnsi="Times New Roman"/>
              </w:rPr>
              <w:t>) Organizing inter-school or institutional fellowship activities under the University’s name;</w:t>
            </w:r>
            <w:r w:rsidRPr="003E24F0">
              <w:rPr>
                <w:rFonts w:ascii="Times New Roman" w:eastAsia="標楷體" w:hAnsi="Times New Roman"/>
              </w:rPr>
              <w:br/>
              <w:t>(</w:t>
            </w:r>
            <w:r w:rsidR="00D87C3D" w:rsidRPr="003E24F0">
              <w:rPr>
                <w:rFonts w:ascii="Times New Roman" w:eastAsia="標楷體" w:hAnsi="Times New Roman"/>
              </w:rPr>
              <w:t>c</w:t>
            </w:r>
            <w:r w:rsidRPr="003E24F0">
              <w:rPr>
                <w:rFonts w:ascii="Times New Roman" w:eastAsia="標楷體" w:hAnsi="Times New Roman"/>
              </w:rPr>
              <w:t>) Hosting University-wide competitions or exhibitions in coordination with the University Anniversary or other ceremonial events.</w:t>
            </w:r>
          </w:p>
          <w:p w14:paraId="5955887E" w14:textId="227C3CAB" w:rsidR="006A540B" w:rsidRPr="003E24F0" w:rsidRDefault="00491BC7" w:rsidP="00D87C3D">
            <w:pPr>
              <w:pStyle w:val="Web"/>
              <w:numPr>
                <w:ilvl w:val="0"/>
                <w:numId w:val="19"/>
              </w:numPr>
              <w:tabs>
                <w:tab w:val="clear" w:pos="720"/>
              </w:tabs>
              <w:spacing w:before="0" w:beforeAutospacing="0" w:after="0" w:afterAutospacing="0" w:line="400" w:lineRule="exact"/>
              <w:ind w:left="321"/>
              <w:rPr>
                <w:rFonts w:ascii="Times New Roman" w:eastAsia="標楷體" w:hAnsi="Times New Roman"/>
              </w:rPr>
            </w:pPr>
            <w:r w:rsidRPr="003E24F0">
              <w:rPr>
                <w:rFonts w:ascii="Times New Roman" w:eastAsia="標楷體" w:hAnsi="Times New Roman"/>
              </w:rPr>
              <w:t xml:space="preserve">Each club shall maintain annual activity records, documenting the general status, participation, outcomes, and feedback of member meetings and activities. These </w:t>
            </w:r>
            <w:r w:rsidRPr="003E24F0">
              <w:rPr>
                <w:rFonts w:ascii="Times New Roman" w:eastAsia="標楷體" w:hAnsi="Times New Roman"/>
              </w:rPr>
              <w:lastRenderedPageBreak/>
              <w:t xml:space="preserve">records, along with the following academic year’s activity implementation plan, shall be submitted to the Human Resources </w:t>
            </w:r>
            <w:r w:rsidR="00135DBC" w:rsidRPr="003E24F0">
              <w:rPr>
                <w:rFonts w:ascii="Times New Roman" w:eastAsia="標楷體" w:hAnsi="Times New Roman"/>
              </w:rPr>
              <w:t xml:space="preserve">Office </w:t>
            </w:r>
            <w:r w:rsidRPr="003E24F0">
              <w:rPr>
                <w:rFonts w:ascii="Times New Roman" w:eastAsia="標楷體" w:hAnsi="Times New Roman"/>
              </w:rPr>
              <w:t>by June 30 each year for the Committee’s performance review.</w:t>
            </w:r>
            <w:r w:rsidR="00135DBC" w:rsidRPr="003E24F0">
              <w:rPr>
                <w:rFonts w:ascii="Times New Roman" w:eastAsia="標楷體" w:hAnsi="Times New Roman"/>
              </w:rPr>
              <w:t xml:space="preserve"> </w:t>
            </w:r>
            <w:r w:rsidRPr="003E24F0">
              <w:rPr>
                <w:rFonts w:ascii="Times New Roman" w:eastAsia="標楷體" w:hAnsi="Times New Roman"/>
              </w:rPr>
              <w:t>The review results shall serve as the basis for determining the order and amount of subsidies for the following academic year. Clubs that fail to comply with these requirements shall not be eligible for subsidies and may be subject to revocation.</w:t>
            </w:r>
          </w:p>
        </w:tc>
      </w:tr>
      <w:tr w:rsidR="00491BC7" w:rsidRPr="003E24F0" w14:paraId="0CF7D5E0" w14:textId="77777777" w:rsidTr="007674AA">
        <w:tc>
          <w:tcPr>
            <w:tcW w:w="1271" w:type="dxa"/>
          </w:tcPr>
          <w:p w14:paraId="6FA6510E" w14:textId="0DCBF7E0" w:rsidR="00491BC7" w:rsidRPr="003E24F0" w:rsidRDefault="00491BC7" w:rsidP="00491BC7">
            <w:pPr>
              <w:spacing w:line="400" w:lineRule="exact"/>
              <w:rPr>
                <w:rFonts w:ascii="Times New Roman" w:eastAsia="標楷體" w:hAnsi="Times New Roman"/>
                <w:b/>
                <w:bCs/>
                <w:color w:val="000000" w:themeColor="text1"/>
                <w:sz w:val="28"/>
              </w:rPr>
            </w:pPr>
            <w:r w:rsidRPr="003E24F0">
              <w:rPr>
                <w:rStyle w:val="a9"/>
                <w:rFonts w:ascii="Times New Roman" w:eastAsia="標楷體" w:hAnsi="Times New Roman"/>
                <w:b w:val="0"/>
                <w:bCs w:val="0"/>
              </w:rPr>
              <w:lastRenderedPageBreak/>
              <w:t xml:space="preserve">Article </w:t>
            </w:r>
            <w:r w:rsidRPr="003E24F0">
              <w:rPr>
                <w:rStyle w:val="a9"/>
                <w:rFonts w:ascii="Times New Roman" w:eastAsia="標楷體" w:hAnsi="Times New Roman" w:hint="eastAsia"/>
                <w:b w:val="0"/>
                <w:bCs w:val="0"/>
              </w:rPr>
              <w:t>5</w:t>
            </w:r>
          </w:p>
        </w:tc>
        <w:tc>
          <w:tcPr>
            <w:tcW w:w="8357" w:type="dxa"/>
          </w:tcPr>
          <w:p w14:paraId="5A80743B" w14:textId="1821474C" w:rsidR="00491BC7" w:rsidRPr="003E24F0" w:rsidRDefault="00491BC7" w:rsidP="00491BC7">
            <w:pPr>
              <w:spacing w:line="400" w:lineRule="exact"/>
              <w:rPr>
                <w:rFonts w:ascii="Times New Roman" w:eastAsia="標楷體" w:hAnsi="Times New Roman" w:cs="Times New Roman"/>
                <w:color w:val="000000" w:themeColor="text1"/>
                <w:sz w:val="28"/>
              </w:rPr>
            </w:pPr>
            <w:r w:rsidRPr="003E24F0">
              <w:rPr>
                <w:rStyle w:val="qowt-font1-timesnewroman"/>
                <w:rFonts w:ascii="Times New Roman" w:hAnsi="Times New Roman" w:cs="Times New Roman"/>
              </w:rPr>
              <w:t xml:space="preserve">These </w:t>
            </w:r>
            <w:r w:rsidR="002B02F0" w:rsidRPr="003E24F0">
              <w:rPr>
                <w:rStyle w:val="qowt-font1-timesnewroman"/>
                <w:rFonts w:ascii="Times New Roman" w:hAnsi="Times New Roman" w:cs="Times New Roman"/>
              </w:rPr>
              <w:t>G</w:t>
            </w:r>
            <w:r w:rsidRPr="003E24F0">
              <w:rPr>
                <w:rStyle w:val="qowt-font1-timesnewroman"/>
                <w:rFonts w:ascii="Times New Roman" w:hAnsi="Times New Roman" w:cs="Times New Roman"/>
              </w:rPr>
              <w:t>uidelines take effect upon approval by the Administrative Meeting and Meeting of the Board of Directors. Amendments follow the same procedure.</w:t>
            </w:r>
          </w:p>
        </w:tc>
      </w:tr>
    </w:tbl>
    <w:p w14:paraId="1BF13E82" w14:textId="77777777" w:rsidR="00154356" w:rsidRPr="003E24F0" w:rsidRDefault="00154356" w:rsidP="00154356">
      <w:pPr>
        <w:spacing w:line="440" w:lineRule="exact"/>
        <w:rPr>
          <w:rFonts w:ascii="Times New Roman" w:eastAsia="標楷體" w:hAnsi="Times New Roman"/>
          <w:color w:val="000000" w:themeColor="text1"/>
          <w:sz w:val="28"/>
        </w:rPr>
      </w:pPr>
    </w:p>
    <w:p w14:paraId="07E7CCC6" w14:textId="62A77243" w:rsidR="00154356" w:rsidRPr="003E24F0" w:rsidRDefault="00154356" w:rsidP="00154356">
      <w:pPr>
        <w:spacing w:line="440" w:lineRule="exact"/>
        <w:rPr>
          <w:rFonts w:ascii="Times New Roman" w:eastAsia="標楷體" w:hAnsi="Times New Roman"/>
          <w:color w:val="000000" w:themeColor="text1"/>
          <w:sz w:val="28"/>
        </w:rPr>
      </w:pPr>
    </w:p>
    <w:p w14:paraId="7E79C2DE" w14:textId="77777777" w:rsidR="00154356" w:rsidRPr="003E24F0" w:rsidRDefault="00154356" w:rsidP="00154356">
      <w:pPr>
        <w:rPr>
          <w:rFonts w:ascii="Times New Roman" w:eastAsia="標楷體" w:hAnsi="Times New Roman"/>
        </w:rPr>
      </w:pPr>
      <w:r w:rsidRPr="003E24F0">
        <w:rPr>
          <w:rFonts w:ascii="Times New Roman" w:eastAsia="標楷體" w:hAnsi="Times New Roman"/>
          <w:b/>
        </w:rPr>
        <w:t>*The English version is for reference only. If there is any inconsistency or ambiguity between the English and Traditional Chinese versions, the Traditional Chinese version shall prevail.</w:t>
      </w:r>
    </w:p>
    <w:p w14:paraId="4CD7663B" w14:textId="77777777" w:rsidR="00154356" w:rsidRPr="003E24F0" w:rsidRDefault="00154356" w:rsidP="00154356">
      <w:pPr>
        <w:spacing w:line="440" w:lineRule="exact"/>
        <w:rPr>
          <w:rFonts w:ascii="Times New Roman" w:eastAsia="標楷體" w:hAnsi="Times New Roman"/>
          <w:color w:val="000000" w:themeColor="text1"/>
          <w:sz w:val="28"/>
        </w:rPr>
      </w:pPr>
    </w:p>
    <w:sectPr w:rsidR="00154356" w:rsidRPr="003E24F0" w:rsidSect="00FF1C07">
      <w:headerReference w:type="default" r:id="rId7"/>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1FB0E" w14:textId="77777777" w:rsidR="00854E27" w:rsidRDefault="00854E27" w:rsidP="00C548FA">
      <w:r>
        <w:separator/>
      </w:r>
    </w:p>
  </w:endnote>
  <w:endnote w:type="continuationSeparator" w:id="0">
    <w:p w14:paraId="528C3075" w14:textId="77777777" w:rsidR="00854E27" w:rsidRDefault="00854E27" w:rsidP="00C54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IDFont+F2">
    <w:altName w:val="微軟正黑體"/>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213370"/>
      <w:docPartObj>
        <w:docPartGallery w:val="Page Numbers (Bottom of Page)"/>
        <w:docPartUnique/>
      </w:docPartObj>
    </w:sdtPr>
    <w:sdtEndPr/>
    <w:sdtContent>
      <w:p w14:paraId="7843A74A" w14:textId="7DB22299" w:rsidR="006C122F" w:rsidRDefault="006C122F">
        <w:pPr>
          <w:pStyle w:val="a6"/>
          <w:jc w:val="center"/>
        </w:pPr>
        <w:r>
          <w:fldChar w:fldCharType="begin"/>
        </w:r>
        <w:r>
          <w:instrText>PAGE   \* MERGEFORMAT</w:instrText>
        </w:r>
        <w:r>
          <w:fldChar w:fldCharType="separate"/>
        </w:r>
        <w:r>
          <w:rPr>
            <w:lang w:val="zh-TW"/>
          </w:rPr>
          <w:t>2</w:t>
        </w:r>
        <w:r>
          <w:fldChar w:fldCharType="end"/>
        </w:r>
      </w:p>
    </w:sdtContent>
  </w:sdt>
  <w:p w14:paraId="0A6B46A0" w14:textId="77777777" w:rsidR="006C122F" w:rsidRDefault="006C12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3E41C" w14:textId="77777777" w:rsidR="00854E27" w:rsidRDefault="00854E27" w:rsidP="00C548FA">
      <w:r>
        <w:separator/>
      </w:r>
    </w:p>
  </w:footnote>
  <w:footnote w:type="continuationSeparator" w:id="0">
    <w:p w14:paraId="31FF8D06" w14:textId="77777777" w:rsidR="00854E27" w:rsidRDefault="00854E27" w:rsidP="00C54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7CB33" w14:textId="00E6FEBC" w:rsidR="0068262F" w:rsidRPr="0068262F" w:rsidRDefault="0068262F" w:rsidP="0068262F">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E09"/>
    <w:multiLevelType w:val="hybridMultilevel"/>
    <w:tmpl w:val="637CF1F8"/>
    <w:lvl w:ilvl="0" w:tplc="9508EFC8">
      <w:start w:val="1"/>
      <w:numFmt w:val="decimal"/>
      <w:lvlText w:val="(%1)"/>
      <w:lvlJc w:val="left"/>
      <w:pPr>
        <w:ind w:left="1176" w:hanging="468"/>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 w15:restartNumberingAfterBreak="0">
    <w:nsid w:val="09EB36FC"/>
    <w:multiLevelType w:val="hybridMultilevel"/>
    <w:tmpl w:val="DD38415C"/>
    <w:lvl w:ilvl="0" w:tplc="AF18BAAC">
      <w:start w:val="1"/>
      <w:numFmt w:val="decimal"/>
      <w:lvlText w:val="%1."/>
      <w:lvlJc w:val="left"/>
      <w:pPr>
        <w:ind w:left="926" w:hanging="360"/>
      </w:pPr>
      <w:rPr>
        <w:rFonts w:hint="default"/>
      </w:rPr>
    </w:lvl>
    <w:lvl w:ilvl="1" w:tplc="04090019">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 w15:restartNumberingAfterBreak="0">
    <w:nsid w:val="09FE0904"/>
    <w:multiLevelType w:val="hybridMultilevel"/>
    <w:tmpl w:val="11AEC332"/>
    <w:lvl w:ilvl="0" w:tplc="4DF66CE6">
      <w:start w:val="1"/>
      <w:numFmt w:val="taiwaneseCountingThousand"/>
      <w:lvlText w:val="(%1)"/>
      <w:lvlJc w:val="left"/>
      <w:pPr>
        <w:ind w:left="708" w:hanging="468"/>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0ED10960"/>
    <w:multiLevelType w:val="hybridMultilevel"/>
    <w:tmpl w:val="F8208F48"/>
    <w:lvl w:ilvl="0" w:tplc="B808980E">
      <w:start w:val="1"/>
      <w:numFmt w:val="taiwaneseCountingThousand"/>
      <w:lvlText w:val="%1、"/>
      <w:lvlJc w:val="left"/>
      <w:pPr>
        <w:ind w:left="552" w:hanging="552"/>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8285F32"/>
    <w:multiLevelType w:val="multilevel"/>
    <w:tmpl w:val="8F96F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A977D9"/>
    <w:multiLevelType w:val="hybridMultilevel"/>
    <w:tmpl w:val="11AEC332"/>
    <w:lvl w:ilvl="0" w:tplc="4DF66CE6">
      <w:start w:val="1"/>
      <w:numFmt w:val="taiwaneseCountingThousand"/>
      <w:lvlText w:val="(%1)"/>
      <w:lvlJc w:val="left"/>
      <w:pPr>
        <w:ind w:left="708" w:hanging="468"/>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2110153D"/>
    <w:multiLevelType w:val="hybridMultilevel"/>
    <w:tmpl w:val="11AEC332"/>
    <w:lvl w:ilvl="0" w:tplc="4DF66CE6">
      <w:start w:val="1"/>
      <w:numFmt w:val="taiwaneseCountingThousand"/>
      <w:lvlText w:val="(%1)"/>
      <w:lvlJc w:val="left"/>
      <w:pPr>
        <w:ind w:left="708" w:hanging="468"/>
      </w:pPr>
      <w:rPr>
        <w:rFonts w:hint="default"/>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28C7019B"/>
    <w:multiLevelType w:val="hybridMultilevel"/>
    <w:tmpl w:val="94F4CE20"/>
    <w:lvl w:ilvl="0" w:tplc="1278D490">
      <w:start w:val="1"/>
      <w:numFmt w:val="taiwaneseCountingThousand"/>
      <w:lvlText w:val="%1、"/>
      <w:lvlJc w:val="left"/>
      <w:pPr>
        <w:ind w:left="552" w:hanging="552"/>
      </w:pPr>
      <w:rPr>
        <w:rFonts w:hint="default"/>
      </w:rPr>
    </w:lvl>
    <w:lvl w:ilvl="1" w:tplc="04090019" w:tentative="1">
      <w:start w:val="1"/>
      <w:numFmt w:val="ideographTraditional"/>
      <w:lvlText w:val="%2、"/>
      <w:lvlJc w:val="left"/>
      <w:pPr>
        <w:ind w:left="720" w:hanging="480"/>
      </w:pPr>
    </w:lvl>
    <w:lvl w:ilvl="2" w:tplc="0409001B" w:tentative="1">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8" w15:restartNumberingAfterBreak="0">
    <w:nsid w:val="408D27DE"/>
    <w:multiLevelType w:val="hybridMultilevel"/>
    <w:tmpl w:val="11AEC332"/>
    <w:lvl w:ilvl="0" w:tplc="4DF66CE6">
      <w:start w:val="1"/>
      <w:numFmt w:val="taiwaneseCountingThousand"/>
      <w:lvlText w:val="(%1)"/>
      <w:lvlJc w:val="left"/>
      <w:pPr>
        <w:ind w:left="708" w:hanging="468"/>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 w15:restartNumberingAfterBreak="0">
    <w:nsid w:val="40AF454E"/>
    <w:multiLevelType w:val="multilevel"/>
    <w:tmpl w:val="22F8F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586E74"/>
    <w:multiLevelType w:val="hybridMultilevel"/>
    <w:tmpl w:val="4AC02C28"/>
    <w:lvl w:ilvl="0" w:tplc="6060B1FC">
      <w:start w:val="5"/>
      <w:numFmt w:val="taiwaneseCountingThousand"/>
      <w:lvlText w:val="%1、"/>
      <w:lvlJc w:val="left"/>
      <w:pPr>
        <w:ind w:left="792" w:hanging="55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4EE634F"/>
    <w:multiLevelType w:val="hybridMultilevel"/>
    <w:tmpl w:val="11AEC332"/>
    <w:lvl w:ilvl="0" w:tplc="4DF66CE6">
      <w:start w:val="1"/>
      <w:numFmt w:val="taiwaneseCountingThousand"/>
      <w:lvlText w:val="(%1)"/>
      <w:lvlJc w:val="left"/>
      <w:pPr>
        <w:ind w:left="708" w:hanging="468"/>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5A8868CC"/>
    <w:multiLevelType w:val="multilevel"/>
    <w:tmpl w:val="5ECE74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E37E4D"/>
    <w:multiLevelType w:val="hybridMultilevel"/>
    <w:tmpl w:val="11AEC332"/>
    <w:lvl w:ilvl="0" w:tplc="4DF66CE6">
      <w:start w:val="1"/>
      <w:numFmt w:val="taiwaneseCountingThousand"/>
      <w:lvlText w:val="(%1)"/>
      <w:lvlJc w:val="left"/>
      <w:pPr>
        <w:ind w:left="708" w:hanging="468"/>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15:restartNumberingAfterBreak="0">
    <w:nsid w:val="63DF3921"/>
    <w:multiLevelType w:val="hybridMultilevel"/>
    <w:tmpl w:val="637CF1F8"/>
    <w:lvl w:ilvl="0" w:tplc="9508EFC8">
      <w:start w:val="1"/>
      <w:numFmt w:val="decimal"/>
      <w:lvlText w:val="(%1)"/>
      <w:lvlJc w:val="left"/>
      <w:pPr>
        <w:ind w:left="1176" w:hanging="468"/>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5" w15:restartNumberingAfterBreak="0">
    <w:nsid w:val="6C1826BD"/>
    <w:multiLevelType w:val="multilevel"/>
    <w:tmpl w:val="8F96F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710644"/>
    <w:multiLevelType w:val="multilevel"/>
    <w:tmpl w:val="8F96F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CB20AD"/>
    <w:multiLevelType w:val="hybridMultilevel"/>
    <w:tmpl w:val="11AEC332"/>
    <w:lvl w:ilvl="0" w:tplc="4DF66CE6">
      <w:start w:val="1"/>
      <w:numFmt w:val="taiwaneseCountingThousand"/>
      <w:lvlText w:val="(%1)"/>
      <w:lvlJc w:val="left"/>
      <w:pPr>
        <w:ind w:left="708" w:hanging="468"/>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8" w15:restartNumberingAfterBreak="0">
    <w:nsid w:val="7B4D1921"/>
    <w:multiLevelType w:val="hybridMultilevel"/>
    <w:tmpl w:val="11AEC332"/>
    <w:lvl w:ilvl="0" w:tplc="4DF66CE6">
      <w:start w:val="1"/>
      <w:numFmt w:val="taiwaneseCountingThousand"/>
      <w:lvlText w:val="(%1)"/>
      <w:lvlJc w:val="left"/>
      <w:pPr>
        <w:ind w:left="708" w:hanging="468"/>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3"/>
  </w:num>
  <w:num w:numId="2">
    <w:abstractNumId w:val="2"/>
  </w:num>
  <w:num w:numId="3">
    <w:abstractNumId w:val="8"/>
  </w:num>
  <w:num w:numId="4">
    <w:abstractNumId w:val="6"/>
  </w:num>
  <w:num w:numId="5">
    <w:abstractNumId w:val="1"/>
  </w:num>
  <w:num w:numId="6">
    <w:abstractNumId w:val="0"/>
  </w:num>
  <w:num w:numId="7">
    <w:abstractNumId w:val="14"/>
  </w:num>
  <w:num w:numId="8">
    <w:abstractNumId w:val="5"/>
  </w:num>
  <w:num w:numId="9">
    <w:abstractNumId w:val="13"/>
  </w:num>
  <w:num w:numId="10">
    <w:abstractNumId w:val="18"/>
  </w:num>
  <w:num w:numId="11">
    <w:abstractNumId w:val="10"/>
  </w:num>
  <w:num w:numId="12">
    <w:abstractNumId w:val="7"/>
  </w:num>
  <w:num w:numId="13">
    <w:abstractNumId w:val="17"/>
  </w:num>
  <w:num w:numId="14">
    <w:abstractNumId w:val="11"/>
  </w:num>
  <w:num w:numId="15">
    <w:abstractNumId w:val="4"/>
  </w:num>
  <w:num w:numId="16">
    <w:abstractNumId w:val="9"/>
  </w:num>
  <w:num w:numId="17">
    <w:abstractNumId w:val="12"/>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36F"/>
    <w:rsid w:val="00041578"/>
    <w:rsid w:val="00042D5A"/>
    <w:rsid w:val="00057D46"/>
    <w:rsid w:val="00062772"/>
    <w:rsid w:val="00072654"/>
    <w:rsid w:val="000813DE"/>
    <w:rsid w:val="0008329A"/>
    <w:rsid w:val="00097816"/>
    <w:rsid w:val="000B33E5"/>
    <w:rsid w:val="000D49FE"/>
    <w:rsid w:val="000F3F62"/>
    <w:rsid w:val="000F5C4E"/>
    <w:rsid w:val="001046A8"/>
    <w:rsid w:val="00127A8C"/>
    <w:rsid w:val="00132CBA"/>
    <w:rsid w:val="00135DBC"/>
    <w:rsid w:val="0014608B"/>
    <w:rsid w:val="00154356"/>
    <w:rsid w:val="001617CC"/>
    <w:rsid w:val="001757BF"/>
    <w:rsid w:val="001830FB"/>
    <w:rsid w:val="0018683F"/>
    <w:rsid w:val="001A1347"/>
    <w:rsid w:val="001A1919"/>
    <w:rsid w:val="001D142D"/>
    <w:rsid w:val="001D64E1"/>
    <w:rsid w:val="001E48F8"/>
    <w:rsid w:val="0020537D"/>
    <w:rsid w:val="00213F06"/>
    <w:rsid w:val="00217F70"/>
    <w:rsid w:val="00226B2F"/>
    <w:rsid w:val="00230306"/>
    <w:rsid w:val="00233641"/>
    <w:rsid w:val="00246D6D"/>
    <w:rsid w:val="00252C1A"/>
    <w:rsid w:val="002530CB"/>
    <w:rsid w:val="002575DB"/>
    <w:rsid w:val="00267F24"/>
    <w:rsid w:val="002914B7"/>
    <w:rsid w:val="002A3B64"/>
    <w:rsid w:val="002A4182"/>
    <w:rsid w:val="002B02F0"/>
    <w:rsid w:val="002B2201"/>
    <w:rsid w:val="002B424D"/>
    <w:rsid w:val="002C49F5"/>
    <w:rsid w:val="002E5C06"/>
    <w:rsid w:val="002F1DC0"/>
    <w:rsid w:val="002F45B6"/>
    <w:rsid w:val="003063B5"/>
    <w:rsid w:val="00311AFD"/>
    <w:rsid w:val="00311E36"/>
    <w:rsid w:val="00316FBD"/>
    <w:rsid w:val="00345885"/>
    <w:rsid w:val="00362C55"/>
    <w:rsid w:val="003A2B54"/>
    <w:rsid w:val="003A6197"/>
    <w:rsid w:val="003B266F"/>
    <w:rsid w:val="003C63F4"/>
    <w:rsid w:val="003E24F0"/>
    <w:rsid w:val="003F0CBA"/>
    <w:rsid w:val="003F71AE"/>
    <w:rsid w:val="00401D29"/>
    <w:rsid w:val="00405DEB"/>
    <w:rsid w:val="00450064"/>
    <w:rsid w:val="00453C52"/>
    <w:rsid w:val="00466692"/>
    <w:rsid w:val="00486D02"/>
    <w:rsid w:val="00491BC7"/>
    <w:rsid w:val="00496811"/>
    <w:rsid w:val="004A613D"/>
    <w:rsid w:val="004C612F"/>
    <w:rsid w:val="00502659"/>
    <w:rsid w:val="00506E9C"/>
    <w:rsid w:val="005071CA"/>
    <w:rsid w:val="00555D0E"/>
    <w:rsid w:val="0057608B"/>
    <w:rsid w:val="005B35BF"/>
    <w:rsid w:val="005B4991"/>
    <w:rsid w:val="005B6918"/>
    <w:rsid w:val="005C1DBF"/>
    <w:rsid w:val="005C4376"/>
    <w:rsid w:val="005D6ABD"/>
    <w:rsid w:val="005F1C64"/>
    <w:rsid w:val="005F3560"/>
    <w:rsid w:val="00610603"/>
    <w:rsid w:val="00623624"/>
    <w:rsid w:val="00651DD3"/>
    <w:rsid w:val="00653197"/>
    <w:rsid w:val="00661C55"/>
    <w:rsid w:val="00663BCA"/>
    <w:rsid w:val="0066436F"/>
    <w:rsid w:val="0068262F"/>
    <w:rsid w:val="00694DC3"/>
    <w:rsid w:val="006A1927"/>
    <w:rsid w:val="006A540B"/>
    <w:rsid w:val="006C1042"/>
    <w:rsid w:val="006C122F"/>
    <w:rsid w:val="006C48E5"/>
    <w:rsid w:val="006D3982"/>
    <w:rsid w:val="00705044"/>
    <w:rsid w:val="007110FC"/>
    <w:rsid w:val="0073765F"/>
    <w:rsid w:val="00741312"/>
    <w:rsid w:val="007674AA"/>
    <w:rsid w:val="007819B3"/>
    <w:rsid w:val="00783DD0"/>
    <w:rsid w:val="007930C3"/>
    <w:rsid w:val="00797CBF"/>
    <w:rsid w:val="007A1EC3"/>
    <w:rsid w:val="007A6E82"/>
    <w:rsid w:val="007B5230"/>
    <w:rsid w:val="007F162A"/>
    <w:rsid w:val="00813441"/>
    <w:rsid w:val="00827796"/>
    <w:rsid w:val="00827E99"/>
    <w:rsid w:val="00831CBB"/>
    <w:rsid w:val="00854E27"/>
    <w:rsid w:val="00866DEA"/>
    <w:rsid w:val="008D0BFD"/>
    <w:rsid w:val="008E028B"/>
    <w:rsid w:val="008F10D9"/>
    <w:rsid w:val="009041F7"/>
    <w:rsid w:val="00916C96"/>
    <w:rsid w:val="00934E96"/>
    <w:rsid w:val="00937E63"/>
    <w:rsid w:val="009408BF"/>
    <w:rsid w:val="009426A9"/>
    <w:rsid w:val="00942ED7"/>
    <w:rsid w:val="00964A4E"/>
    <w:rsid w:val="00965C56"/>
    <w:rsid w:val="00997276"/>
    <w:rsid w:val="009E1B25"/>
    <w:rsid w:val="00A028B5"/>
    <w:rsid w:val="00A17468"/>
    <w:rsid w:val="00A56755"/>
    <w:rsid w:val="00A608A4"/>
    <w:rsid w:val="00A657F4"/>
    <w:rsid w:val="00A74A60"/>
    <w:rsid w:val="00A84BD8"/>
    <w:rsid w:val="00AA19D4"/>
    <w:rsid w:val="00AB17F7"/>
    <w:rsid w:val="00AC527B"/>
    <w:rsid w:val="00AD2782"/>
    <w:rsid w:val="00AE1698"/>
    <w:rsid w:val="00AE5BBF"/>
    <w:rsid w:val="00B0070C"/>
    <w:rsid w:val="00B040A2"/>
    <w:rsid w:val="00B10F7A"/>
    <w:rsid w:val="00B14587"/>
    <w:rsid w:val="00B2086C"/>
    <w:rsid w:val="00B3292C"/>
    <w:rsid w:val="00B46DC6"/>
    <w:rsid w:val="00B56D3C"/>
    <w:rsid w:val="00B85CA4"/>
    <w:rsid w:val="00B9059E"/>
    <w:rsid w:val="00B91FF4"/>
    <w:rsid w:val="00B95B66"/>
    <w:rsid w:val="00B96D71"/>
    <w:rsid w:val="00BB0A06"/>
    <w:rsid w:val="00BC063F"/>
    <w:rsid w:val="00BC0F53"/>
    <w:rsid w:val="00BD4A74"/>
    <w:rsid w:val="00BE3733"/>
    <w:rsid w:val="00BE7334"/>
    <w:rsid w:val="00BF0284"/>
    <w:rsid w:val="00C53D42"/>
    <w:rsid w:val="00C548FA"/>
    <w:rsid w:val="00C57F01"/>
    <w:rsid w:val="00C63B99"/>
    <w:rsid w:val="00C81B7C"/>
    <w:rsid w:val="00C86FA4"/>
    <w:rsid w:val="00CA7806"/>
    <w:rsid w:val="00CB61CC"/>
    <w:rsid w:val="00CC5623"/>
    <w:rsid w:val="00CD3F5F"/>
    <w:rsid w:val="00CF4AF5"/>
    <w:rsid w:val="00D14EE3"/>
    <w:rsid w:val="00D17591"/>
    <w:rsid w:val="00D342DC"/>
    <w:rsid w:val="00D61BEA"/>
    <w:rsid w:val="00D87C3D"/>
    <w:rsid w:val="00DA00C0"/>
    <w:rsid w:val="00DA46EF"/>
    <w:rsid w:val="00DA752B"/>
    <w:rsid w:val="00DB19B9"/>
    <w:rsid w:val="00DC702C"/>
    <w:rsid w:val="00DC7665"/>
    <w:rsid w:val="00DD2892"/>
    <w:rsid w:val="00DE46BB"/>
    <w:rsid w:val="00DF12BC"/>
    <w:rsid w:val="00E2727D"/>
    <w:rsid w:val="00E5459B"/>
    <w:rsid w:val="00E5796F"/>
    <w:rsid w:val="00E60481"/>
    <w:rsid w:val="00E65C52"/>
    <w:rsid w:val="00E715F7"/>
    <w:rsid w:val="00E77D75"/>
    <w:rsid w:val="00EA55E3"/>
    <w:rsid w:val="00EB43C1"/>
    <w:rsid w:val="00EC203F"/>
    <w:rsid w:val="00EC61E6"/>
    <w:rsid w:val="00EF478F"/>
    <w:rsid w:val="00F03699"/>
    <w:rsid w:val="00F14645"/>
    <w:rsid w:val="00F205C7"/>
    <w:rsid w:val="00F46639"/>
    <w:rsid w:val="00F50513"/>
    <w:rsid w:val="00F66E11"/>
    <w:rsid w:val="00F80A1D"/>
    <w:rsid w:val="00FA11A4"/>
    <w:rsid w:val="00FA65C0"/>
    <w:rsid w:val="00FA6CA5"/>
    <w:rsid w:val="00FA7A57"/>
    <w:rsid w:val="00FC0B38"/>
    <w:rsid w:val="00FD14E1"/>
    <w:rsid w:val="00FD2082"/>
    <w:rsid w:val="00FF1C07"/>
    <w:rsid w:val="00FF2F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A8D6FB"/>
  <w15:chartTrackingRefBased/>
  <w15:docId w15:val="{9B915EF0-7F87-401A-8368-89619375B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613D"/>
    <w:pPr>
      <w:ind w:leftChars="200" w:left="480"/>
    </w:pPr>
  </w:style>
  <w:style w:type="paragraph" w:styleId="a4">
    <w:name w:val="header"/>
    <w:basedOn w:val="a"/>
    <w:link w:val="a5"/>
    <w:unhideWhenUsed/>
    <w:rsid w:val="00C548FA"/>
    <w:pPr>
      <w:tabs>
        <w:tab w:val="center" w:pos="4153"/>
        <w:tab w:val="right" w:pos="8306"/>
      </w:tabs>
      <w:snapToGrid w:val="0"/>
    </w:pPr>
    <w:rPr>
      <w:sz w:val="20"/>
      <w:szCs w:val="20"/>
    </w:rPr>
  </w:style>
  <w:style w:type="character" w:customStyle="1" w:styleId="a5">
    <w:name w:val="頁首 字元"/>
    <w:basedOn w:val="a0"/>
    <w:link w:val="a4"/>
    <w:rsid w:val="00C548FA"/>
    <w:rPr>
      <w:sz w:val="20"/>
      <w:szCs w:val="20"/>
    </w:rPr>
  </w:style>
  <w:style w:type="paragraph" w:styleId="a6">
    <w:name w:val="footer"/>
    <w:basedOn w:val="a"/>
    <w:link w:val="a7"/>
    <w:uiPriority w:val="99"/>
    <w:unhideWhenUsed/>
    <w:rsid w:val="00C548FA"/>
    <w:pPr>
      <w:tabs>
        <w:tab w:val="center" w:pos="4153"/>
        <w:tab w:val="right" w:pos="8306"/>
      </w:tabs>
      <w:snapToGrid w:val="0"/>
    </w:pPr>
    <w:rPr>
      <w:sz w:val="20"/>
      <w:szCs w:val="20"/>
    </w:rPr>
  </w:style>
  <w:style w:type="character" w:customStyle="1" w:styleId="a7">
    <w:name w:val="頁尾 字元"/>
    <w:basedOn w:val="a0"/>
    <w:link w:val="a6"/>
    <w:uiPriority w:val="99"/>
    <w:rsid w:val="00C548FA"/>
    <w:rPr>
      <w:sz w:val="20"/>
      <w:szCs w:val="20"/>
    </w:rPr>
  </w:style>
  <w:style w:type="table" w:styleId="a8">
    <w:name w:val="Table Grid"/>
    <w:basedOn w:val="a1"/>
    <w:uiPriority w:val="39"/>
    <w:rsid w:val="00F46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154356"/>
    <w:pPr>
      <w:widowControl/>
      <w:spacing w:before="100" w:beforeAutospacing="1" w:after="100" w:afterAutospacing="1"/>
    </w:pPr>
    <w:rPr>
      <w:rFonts w:ascii="新細明體" w:eastAsia="新細明體" w:hAnsi="新細明體" w:cs="新細明體"/>
      <w:kern w:val="0"/>
      <w:szCs w:val="24"/>
    </w:rPr>
  </w:style>
  <w:style w:type="character" w:styleId="a9">
    <w:name w:val="Strong"/>
    <w:basedOn w:val="a0"/>
    <w:uiPriority w:val="22"/>
    <w:qFormat/>
    <w:rsid w:val="00154356"/>
    <w:rPr>
      <w:b/>
      <w:bCs/>
    </w:rPr>
  </w:style>
  <w:style w:type="character" w:styleId="aa">
    <w:name w:val="Emphasis"/>
    <w:basedOn w:val="a0"/>
    <w:uiPriority w:val="20"/>
    <w:qFormat/>
    <w:rsid w:val="00154356"/>
    <w:rPr>
      <w:i/>
      <w:iCs/>
    </w:rPr>
  </w:style>
  <w:style w:type="character" w:customStyle="1" w:styleId="qowt-font1-timesnewroman">
    <w:name w:val="qowt-font1-timesnewroman"/>
    <w:basedOn w:val="a0"/>
    <w:rsid w:val="00491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40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3</Pages>
  <Words>756</Words>
  <Characters>4326</Characters>
  <Application>Microsoft Office Word</Application>
  <DocSecurity>0</DocSecurity>
  <Lines>88</Lines>
  <Paragraphs>38</Paragraphs>
  <ScaleCrop>false</ScaleCrop>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2023-11-13T10:15:00Z</cp:lastPrinted>
  <dcterms:created xsi:type="dcterms:W3CDTF">2025-10-15T08:25:00Z</dcterms:created>
  <dcterms:modified xsi:type="dcterms:W3CDTF">2025-10-21T03:30:00Z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a612213c-7d97-4cf7-a439-ac36647098ab</vt:lpwstr>
  </property>
</Properties>
</file>