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78" w:rsidRPr="004F31C4" w:rsidRDefault="00E12178" w:rsidP="00243096">
      <w:pPr>
        <w:rPr>
          <w:rFonts w:eastAsia="標楷體"/>
          <w:b/>
          <w:color w:val="000000" w:themeColor="text1"/>
          <w:sz w:val="32"/>
          <w:szCs w:val="32"/>
        </w:rPr>
      </w:pPr>
      <w:r w:rsidRPr="004F31C4">
        <w:rPr>
          <w:rFonts w:eastAsia="標楷體"/>
          <w:b/>
          <w:color w:val="000000" w:themeColor="text1"/>
          <w:sz w:val="32"/>
          <w:szCs w:val="32"/>
        </w:rPr>
        <w:t>高雄醫學大學健康科學院</w:t>
      </w:r>
      <w:r w:rsidR="007C7D2E" w:rsidRPr="004F31C4">
        <w:rPr>
          <w:rFonts w:eastAsia="標楷體"/>
          <w:b/>
          <w:color w:val="000000" w:themeColor="text1"/>
          <w:sz w:val="32"/>
          <w:szCs w:val="32"/>
        </w:rPr>
        <w:t>全球衛生暨安全</w:t>
      </w:r>
      <w:r w:rsidRPr="004F31C4">
        <w:rPr>
          <w:rFonts w:eastAsia="標楷體"/>
          <w:b/>
          <w:color w:val="000000" w:themeColor="text1"/>
          <w:sz w:val="32"/>
          <w:szCs w:val="32"/>
        </w:rPr>
        <w:t>研究中心設置辦法</w:t>
      </w:r>
      <w:r w:rsidR="00300D33" w:rsidRPr="004F31C4">
        <w:rPr>
          <w:rFonts w:eastAsia="標楷體" w:hint="eastAsia"/>
          <w:b/>
          <w:color w:val="000000" w:themeColor="text1"/>
          <w:sz w:val="32"/>
          <w:szCs w:val="32"/>
        </w:rPr>
        <w:t>【廢止】</w:t>
      </w:r>
    </w:p>
    <w:p w:rsidR="00FE4511" w:rsidRPr="004F31C4" w:rsidRDefault="00FE4511" w:rsidP="004F68B0">
      <w:pPr>
        <w:snapToGrid w:val="0"/>
        <w:ind w:firstLineChars="2126" w:firstLine="4252"/>
        <w:rPr>
          <w:rFonts w:eastAsia="標楷體"/>
          <w:color w:val="000000" w:themeColor="text1"/>
          <w:sz w:val="20"/>
          <w:szCs w:val="20"/>
        </w:rPr>
      </w:pPr>
      <w:r w:rsidRPr="004F31C4">
        <w:rPr>
          <w:rFonts w:eastAsia="標楷體"/>
          <w:color w:val="000000" w:themeColor="text1"/>
          <w:sz w:val="20"/>
          <w:szCs w:val="20"/>
        </w:rPr>
        <w:t xml:space="preserve">111.04.19 </w:t>
      </w:r>
      <w:r w:rsidRPr="004F31C4">
        <w:rPr>
          <w:rFonts w:eastAsia="標楷體" w:hint="eastAsia"/>
          <w:color w:val="000000" w:themeColor="text1"/>
          <w:sz w:val="20"/>
          <w:szCs w:val="20"/>
        </w:rPr>
        <w:t xml:space="preserve"> </w:t>
      </w:r>
      <w:r w:rsidRPr="004F31C4">
        <w:rPr>
          <w:rFonts w:eastAsia="標楷體"/>
          <w:color w:val="000000" w:themeColor="text1"/>
          <w:sz w:val="20"/>
          <w:szCs w:val="20"/>
        </w:rPr>
        <w:t>110</w:t>
      </w:r>
      <w:r w:rsidRPr="004F31C4">
        <w:rPr>
          <w:rFonts w:eastAsia="標楷體"/>
          <w:color w:val="000000" w:themeColor="text1"/>
          <w:sz w:val="20"/>
          <w:szCs w:val="20"/>
        </w:rPr>
        <w:t>學年度健康科學院第</w:t>
      </w:r>
      <w:r w:rsidRPr="004F31C4">
        <w:rPr>
          <w:rFonts w:eastAsia="標楷體"/>
          <w:color w:val="000000" w:themeColor="text1"/>
          <w:sz w:val="20"/>
          <w:szCs w:val="20"/>
        </w:rPr>
        <w:t>5</w:t>
      </w:r>
      <w:r w:rsidRPr="004F31C4">
        <w:rPr>
          <w:rFonts w:eastAsia="標楷體"/>
          <w:color w:val="000000" w:themeColor="text1"/>
          <w:sz w:val="20"/>
          <w:szCs w:val="20"/>
        </w:rPr>
        <w:t>次院務會議通過</w:t>
      </w:r>
    </w:p>
    <w:p w:rsidR="008A339B" w:rsidRPr="004F31C4" w:rsidRDefault="008F4FCE" w:rsidP="004F68B0">
      <w:pPr>
        <w:snapToGrid w:val="0"/>
        <w:ind w:firstLineChars="2126" w:firstLine="4252"/>
        <w:rPr>
          <w:rFonts w:eastAsia="標楷體"/>
          <w:color w:val="000000" w:themeColor="text1"/>
          <w:sz w:val="20"/>
        </w:rPr>
      </w:pPr>
      <w:r w:rsidRPr="004F31C4">
        <w:rPr>
          <w:rFonts w:eastAsia="標楷體"/>
          <w:color w:val="000000" w:themeColor="text1"/>
          <w:sz w:val="20"/>
        </w:rPr>
        <w:t>11</w:t>
      </w:r>
      <w:r w:rsidRPr="004F31C4">
        <w:rPr>
          <w:rFonts w:eastAsia="標楷體" w:hint="eastAsia"/>
          <w:color w:val="000000" w:themeColor="text1"/>
          <w:sz w:val="20"/>
        </w:rPr>
        <w:t>1</w:t>
      </w:r>
      <w:r w:rsidR="00243096" w:rsidRPr="004F31C4">
        <w:rPr>
          <w:rFonts w:eastAsia="標楷體"/>
          <w:color w:val="000000" w:themeColor="text1"/>
          <w:sz w:val="20"/>
        </w:rPr>
        <w:t>.05.12  110</w:t>
      </w:r>
      <w:r w:rsidR="00243096" w:rsidRPr="004F31C4">
        <w:rPr>
          <w:rFonts w:eastAsia="標楷體"/>
          <w:color w:val="000000" w:themeColor="text1"/>
          <w:sz w:val="20"/>
        </w:rPr>
        <w:t>學年度第</w:t>
      </w:r>
      <w:r w:rsidR="00243096" w:rsidRPr="004F31C4">
        <w:rPr>
          <w:rFonts w:eastAsia="標楷體"/>
          <w:color w:val="000000" w:themeColor="text1"/>
          <w:sz w:val="20"/>
        </w:rPr>
        <w:t>10</w:t>
      </w:r>
      <w:r w:rsidR="00243096" w:rsidRPr="004F31C4">
        <w:rPr>
          <w:rFonts w:eastAsia="標楷體"/>
          <w:color w:val="000000" w:themeColor="text1"/>
          <w:sz w:val="20"/>
        </w:rPr>
        <w:t>次行政會議通過</w:t>
      </w:r>
    </w:p>
    <w:p w:rsidR="00A85103" w:rsidRPr="004F31C4" w:rsidRDefault="00A85103" w:rsidP="004F68B0">
      <w:pPr>
        <w:snapToGrid w:val="0"/>
        <w:ind w:firstLineChars="2126" w:firstLine="4252"/>
        <w:rPr>
          <w:rFonts w:eastAsia="標楷體"/>
          <w:color w:val="000000" w:themeColor="text1"/>
          <w:sz w:val="20"/>
        </w:rPr>
      </w:pPr>
      <w:r w:rsidRPr="004F31C4">
        <w:rPr>
          <w:rFonts w:eastAsia="標楷體" w:hint="eastAsia"/>
          <w:color w:val="000000" w:themeColor="text1"/>
          <w:sz w:val="20"/>
        </w:rPr>
        <w:t xml:space="preserve">111.05.26  </w:t>
      </w:r>
      <w:r w:rsidRPr="004F31C4">
        <w:rPr>
          <w:rFonts w:eastAsia="標楷體" w:hint="eastAsia"/>
          <w:color w:val="000000" w:themeColor="text1"/>
          <w:sz w:val="20"/>
        </w:rPr>
        <w:t>高醫院健字第</w:t>
      </w:r>
      <w:r w:rsidRPr="004F31C4">
        <w:rPr>
          <w:rFonts w:eastAsia="標楷體" w:hint="eastAsia"/>
          <w:color w:val="000000" w:themeColor="text1"/>
          <w:sz w:val="20"/>
        </w:rPr>
        <w:t>1111102038</w:t>
      </w:r>
      <w:r w:rsidRPr="004F31C4">
        <w:rPr>
          <w:rFonts w:eastAsia="標楷體" w:hint="eastAsia"/>
          <w:color w:val="000000" w:themeColor="text1"/>
          <w:sz w:val="20"/>
        </w:rPr>
        <w:t>號函公布</w:t>
      </w:r>
    </w:p>
    <w:p w:rsidR="004F68B0" w:rsidRPr="004F31C4" w:rsidRDefault="004F68B0" w:rsidP="004F68B0">
      <w:pPr>
        <w:snapToGrid w:val="0"/>
        <w:ind w:firstLineChars="2126" w:firstLine="4252"/>
        <w:rPr>
          <w:rFonts w:eastAsia="標楷體"/>
          <w:color w:val="000000" w:themeColor="text1"/>
          <w:sz w:val="20"/>
        </w:rPr>
      </w:pPr>
      <w:r w:rsidRPr="004F31C4">
        <w:rPr>
          <w:rFonts w:eastAsia="標楷體" w:hint="eastAsia"/>
          <w:color w:val="000000" w:themeColor="text1"/>
          <w:sz w:val="20"/>
        </w:rPr>
        <w:t>114.04.16  113</w:t>
      </w:r>
      <w:r w:rsidRPr="004F31C4">
        <w:rPr>
          <w:rFonts w:eastAsia="標楷體" w:hint="eastAsia"/>
          <w:color w:val="000000" w:themeColor="text1"/>
          <w:sz w:val="20"/>
        </w:rPr>
        <w:t>學年度健康科學院第</w:t>
      </w:r>
      <w:r w:rsidRPr="004F31C4">
        <w:rPr>
          <w:rFonts w:eastAsia="標楷體" w:hint="eastAsia"/>
          <w:color w:val="000000" w:themeColor="text1"/>
          <w:sz w:val="20"/>
        </w:rPr>
        <w:t>4</w:t>
      </w:r>
      <w:r w:rsidRPr="004F31C4">
        <w:rPr>
          <w:rFonts w:eastAsia="標楷體" w:hint="eastAsia"/>
          <w:color w:val="000000" w:themeColor="text1"/>
          <w:sz w:val="20"/>
        </w:rPr>
        <w:t>次院務會議通過廢止</w:t>
      </w:r>
    </w:p>
    <w:p w:rsidR="004F31C4" w:rsidRDefault="004F31C4" w:rsidP="004F68B0">
      <w:pPr>
        <w:snapToGrid w:val="0"/>
        <w:ind w:firstLineChars="2126" w:firstLine="4252"/>
        <w:rPr>
          <w:rFonts w:eastAsia="標楷體"/>
          <w:color w:val="000000" w:themeColor="text1"/>
          <w:sz w:val="20"/>
        </w:rPr>
      </w:pPr>
      <w:r w:rsidRPr="004F31C4">
        <w:rPr>
          <w:rFonts w:eastAsia="標楷體" w:hint="eastAsia"/>
          <w:color w:val="000000" w:themeColor="text1"/>
          <w:sz w:val="20"/>
        </w:rPr>
        <w:t>114.05.14  113</w:t>
      </w:r>
      <w:r w:rsidRPr="004F31C4">
        <w:rPr>
          <w:rFonts w:eastAsia="標楷體" w:hint="eastAsia"/>
          <w:color w:val="000000" w:themeColor="text1"/>
          <w:sz w:val="20"/>
        </w:rPr>
        <w:t>學年度第</w:t>
      </w:r>
      <w:r w:rsidRPr="004F31C4">
        <w:rPr>
          <w:rFonts w:eastAsia="標楷體" w:hint="eastAsia"/>
          <w:color w:val="000000" w:themeColor="text1"/>
          <w:sz w:val="20"/>
        </w:rPr>
        <w:t>10</w:t>
      </w:r>
      <w:r w:rsidRPr="004F31C4">
        <w:rPr>
          <w:rFonts w:eastAsia="標楷體" w:hint="eastAsia"/>
          <w:color w:val="000000" w:themeColor="text1"/>
          <w:sz w:val="20"/>
        </w:rPr>
        <w:t>次行政會議通過廢止</w:t>
      </w:r>
    </w:p>
    <w:p w:rsidR="00805DF0" w:rsidRPr="004F31C4" w:rsidRDefault="00805DF0" w:rsidP="004F68B0">
      <w:pPr>
        <w:snapToGrid w:val="0"/>
        <w:ind w:firstLineChars="2126" w:firstLine="4252"/>
        <w:rPr>
          <w:rFonts w:eastAsia="標楷體" w:hint="eastAsia"/>
          <w:color w:val="000000" w:themeColor="text1"/>
          <w:sz w:val="20"/>
          <w:szCs w:val="20"/>
        </w:rPr>
      </w:pPr>
      <w:r>
        <w:rPr>
          <w:rFonts w:eastAsia="標楷體" w:hint="eastAsia"/>
          <w:color w:val="000000" w:themeColor="text1"/>
          <w:sz w:val="20"/>
        </w:rPr>
        <w:t xml:space="preserve">114.05.29  </w:t>
      </w:r>
      <w:r>
        <w:rPr>
          <w:rFonts w:eastAsia="標楷體" w:hint="eastAsia"/>
          <w:color w:val="000000" w:themeColor="text1"/>
          <w:sz w:val="20"/>
        </w:rPr>
        <w:t>高醫院健字第</w:t>
      </w:r>
      <w:r>
        <w:rPr>
          <w:rFonts w:eastAsia="標楷體" w:hint="eastAsia"/>
          <w:color w:val="000000" w:themeColor="text1"/>
          <w:sz w:val="20"/>
        </w:rPr>
        <w:t>1141101801</w:t>
      </w:r>
      <w:r>
        <w:rPr>
          <w:rFonts w:eastAsia="標楷體" w:hint="eastAsia"/>
          <w:color w:val="000000" w:themeColor="text1"/>
          <w:sz w:val="20"/>
        </w:rPr>
        <w:t>號函公布</w:t>
      </w:r>
      <w:bookmarkStart w:id="0" w:name="_GoBack"/>
      <w:bookmarkEnd w:id="0"/>
    </w:p>
    <w:p w:rsidR="00E8178C" w:rsidRPr="004F31C4" w:rsidRDefault="00E849C4" w:rsidP="0022455A">
      <w:pPr>
        <w:numPr>
          <w:ilvl w:val="0"/>
          <w:numId w:val="13"/>
        </w:numPr>
        <w:tabs>
          <w:tab w:val="num" w:pos="1260"/>
        </w:tabs>
        <w:spacing w:beforeLines="50" w:before="180"/>
        <w:ind w:left="1260" w:hanging="1260"/>
        <w:rPr>
          <w:rFonts w:eastAsia="標楷體"/>
          <w:color w:val="000000" w:themeColor="text1"/>
        </w:rPr>
      </w:pPr>
      <w:r w:rsidRPr="004F31C4">
        <w:rPr>
          <w:rFonts w:eastAsia="標楷體"/>
          <w:color w:val="000000" w:themeColor="text1"/>
        </w:rPr>
        <w:t>為促進本校在全球衛生</w:t>
      </w:r>
      <w:r w:rsidR="002C4512" w:rsidRPr="004F31C4">
        <w:rPr>
          <w:rFonts w:eastAsia="標楷體"/>
          <w:color w:val="000000" w:themeColor="text1"/>
        </w:rPr>
        <w:t>之量能</w:t>
      </w:r>
      <w:r w:rsidR="00085367" w:rsidRPr="004F31C4">
        <w:rPr>
          <w:rFonts w:eastAsia="標楷體"/>
          <w:color w:val="000000" w:themeColor="text1"/>
        </w:rPr>
        <w:t>以及</w:t>
      </w:r>
      <w:r w:rsidRPr="004F31C4">
        <w:rPr>
          <w:rFonts w:eastAsia="標楷體"/>
          <w:color w:val="000000" w:themeColor="text1"/>
        </w:rPr>
        <w:t>國際事務之參與，</w:t>
      </w:r>
      <w:r w:rsidR="006840B8" w:rsidRPr="004F31C4">
        <w:rPr>
          <w:rFonts w:eastAsia="標楷體"/>
          <w:color w:val="000000" w:themeColor="text1"/>
        </w:rPr>
        <w:t>依據</w:t>
      </w:r>
      <w:r w:rsidR="008254A5" w:rsidRPr="004F31C4">
        <w:rPr>
          <w:rFonts w:eastAsia="標楷體"/>
          <w:color w:val="000000" w:themeColor="text1"/>
        </w:rPr>
        <w:t>本校研究中心設置辦法及</w:t>
      </w:r>
      <w:r w:rsidR="006840B8" w:rsidRPr="004F31C4">
        <w:rPr>
          <w:rFonts w:eastAsia="標楷體"/>
          <w:color w:val="000000" w:themeColor="text1"/>
        </w:rPr>
        <w:t>健康科學院</w:t>
      </w:r>
      <w:r w:rsidR="00783622" w:rsidRPr="004F31C4">
        <w:rPr>
          <w:rFonts w:eastAsia="標楷體" w:hint="eastAsia"/>
          <w:color w:val="000000" w:themeColor="text1"/>
        </w:rPr>
        <w:t>設置辦法</w:t>
      </w:r>
      <w:r w:rsidR="006D04F9" w:rsidRPr="004F31C4">
        <w:rPr>
          <w:rFonts w:eastAsia="標楷體" w:hint="eastAsia"/>
          <w:color w:val="000000" w:themeColor="text1"/>
        </w:rPr>
        <w:t>第</w:t>
      </w:r>
      <w:r w:rsidR="006D04F9" w:rsidRPr="004F31C4">
        <w:rPr>
          <w:rFonts w:eastAsia="標楷體" w:hint="eastAsia"/>
          <w:color w:val="000000" w:themeColor="text1"/>
        </w:rPr>
        <w:t>5</w:t>
      </w:r>
      <w:r w:rsidR="006D04F9" w:rsidRPr="004F31C4">
        <w:rPr>
          <w:rFonts w:eastAsia="標楷體" w:hint="eastAsia"/>
          <w:color w:val="000000" w:themeColor="text1"/>
        </w:rPr>
        <w:t>條</w:t>
      </w:r>
      <w:r w:rsidR="006840B8" w:rsidRPr="004F31C4">
        <w:rPr>
          <w:rFonts w:eastAsia="標楷體"/>
          <w:color w:val="000000" w:themeColor="text1"/>
        </w:rPr>
        <w:t>設置</w:t>
      </w:r>
      <w:r w:rsidRPr="004F31C4">
        <w:rPr>
          <w:rFonts w:eastAsia="標楷體"/>
          <w:color w:val="000000" w:themeColor="text1"/>
        </w:rPr>
        <w:t>全球衛生暨安全</w:t>
      </w:r>
      <w:r w:rsidR="006840B8" w:rsidRPr="004F31C4">
        <w:rPr>
          <w:rFonts w:eastAsia="標楷體"/>
          <w:color w:val="000000" w:themeColor="text1"/>
        </w:rPr>
        <w:t>研究中心（以下簡稱本中心），並訂定本辦法。</w:t>
      </w:r>
    </w:p>
    <w:p w:rsidR="00E8178C" w:rsidRPr="004F31C4" w:rsidRDefault="00E8178C" w:rsidP="0022455A">
      <w:pPr>
        <w:numPr>
          <w:ilvl w:val="0"/>
          <w:numId w:val="13"/>
        </w:numPr>
        <w:tabs>
          <w:tab w:val="num" w:pos="1260"/>
        </w:tabs>
        <w:spacing w:beforeLines="50" w:before="180"/>
        <w:ind w:left="1260" w:hanging="1260"/>
        <w:rPr>
          <w:rFonts w:eastAsia="標楷體"/>
          <w:color w:val="000000" w:themeColor="text1"/>
          <w:u w:val="single"/>
        </w:rPr>
      </w:pPr>
      <w:r w:rsidRPr="004F31C4">
        <w:rPr>
          <w:rFonts w:eastAsia="標楷體"/>
          <w:color w:val="000000" w:themeColor="text1"/>
        </w:rPr>
        <w:t>本中心之任務如下：</w:t>
      </w:r>
    </w:p>
    <w:p w:rsidR="00E849C4" w:rsidRPr="004F31C4" w:rsidRDefault="00E849C4" w:rsidP="00FE4AE7">
      <w:pPr>
        <w:pStyle w:val="ac"/>
        <w:numPr>
          <w:ilvl w:val="1"/>
          <w:numId w:val="13"/>
        </w:numPr>
        <w:spacing w:line="400" w:lineRule="exact"/>
        <w:ind w:leftChars="0" w:left="1843" w:hanging="567"/>
        <w:jc w:val="both"/>
        <w:rPr>
          <w:rFonts w:eastAsia="標楷體"/>
          <w:color w:val="000000" w:themeColor="text1"/>
        </w:rPr>
      </w:pPr>
      <w:r w:rsidRPr="004F31C4">
        <w:rPr>
          <w:rFonts w:eastAsia="標楷體"/>
          <w:color w:val="000000" w:themeColor="text1"/>
        </w:rPr>
        <w:t>研究世界衛生組織</w:t>
      </w:r>
      <w:r w:rsidRPr="004F31C4">
        <w:rPr>
          <w:rFonts w:eastAsia="標楷體"/>
          <w:color w:val="000000" w:themeColor="text1"/>
        </w:rPr>
        <w:t>(World Health Organization, WHO)</w:t>
      </w:r>
      <w:r w:rsidRPr="004F31C4">
        <w:rPr>
          <w:rFonts w:eastAsia="標楷體"/>
          <w:color w:val="000000" w:themeColor="text1"/>
        </w:rPr>
        <w:t>相關議題</w:t>
      </w:r>
      <w:r w:rsidR="00085367" w:rsidRPr="004F31C4">
        <w:rPr>
          <w:rFonts w:eastAsia="標楷體"/>
          <w:color w:val="000000" w:themeColor="text1"/>
        </w:rPr>
        <w:t>。</w:t>
      </w:r>
    </w:p>
    <w:p w:rsidR="00085367" w:rsidRPr="004F31C4" w:rsidRDefault="00E849C4" w:rsidP="00FE4AE7">
      <w:pPr>
        <w:pStyle w:val="ac"/>
        <w:numPr>
          <w:ilvl w:val="1"/>
          <w:numId w:val="13"/>
        </w:numPr>
        <w:spacing w:line="400" w:lineRule="exact"/>
        <w:ind w:leftChars="0" w:left="1843" w:hanging="567"/>
        <w:jc w:val="both"/>
        <w:rPr>
          <w:rFonts w:eastAsia="標楷體"/>
          <w:color w:val="000000" w:themeColor="text1"/>
        </w:rPr>
      </w:pPr>
      <w:r w:rsidRPr="004F31C4">
        <w:rPr>
          <w:rFonts w:eastAsia="標楷體"/>
          <w:color w:val="000000" w:themeColor="text1"/>
        </w:rPr>
        <w:t>研究國際衛生條例</w:t>
      </w:r>
      <w:r w:rsidRPr="004F31C4">
        <w:rPr>
          <w:rFonts w:eastAsia="標楷體"/>
          <w:color w:val="000000" w:themeColor="text1"/>
        </w:rPr>
        <w:t>(International Health Regulations, IHR)</w:t>
      </w:r>
      <w:r w:rsidR="008B6087" w:rsidRPr="004F31C4">
        <w:rPr>
          <w:rFonts w:eastAsia="標楷體"/>
          <w:color w:val="000000" w:themeColor="text1"/>
        </w:rPr>
        <w:t>與衛生安全</w:t>
      </w:r>
      <w:r w:rsidR="008B6087" w:rsidRPr="004F31C4">
        <w:rPr>
          <w:rFonts w:eastAsia="標楷體"/>
          <w:color w:val="000000" w:themeColor="text1"/>
        </w:rPr>
        <w:t>(Health Security)</w:t>
      </w:r>
      <w:r w:rsidRPr="004F31C4">
        <w:rPr>
          <w:rFonts w:eastAsia="標楷體"/>
          <w:color w:val="000000" w:themeColor="text1"/>
        </w:rPr>
        <w:t>相關議題</w:t>
      </w:r>
      <w:r w:rsidR="00085367" w:rsidRPr="004F31C4">
        <w:rPr>
          <w:rFonts w:eastAsia="標楷體"/>
          <w:color w:val="000000" w:themeColor="text1"/>
        </w:rPr>
        <w:t>。</w:t>
      </w:r>
    </w:p>
    <w:p w:rsidR="00E8178C" w:rsidRPr="004F31C4" w:rsidRDefault="002C4512" w:rsidP="00FE4AE7">
      <w:pPr>
        <w:pStyle w:val="ac"/>
        <w:numPr>
          <w:ilvl w:val="1"/>
          <w:numId w:val="13"/>
        </w:numPr>
        <w:spacing w:line="400" w:lineRule="exact"/>
        <w:ind w:leftChars="0" w:left="1843" w:hanging="567"/>
        <w:jc w:val="both"/>
        <w:rPr>
          <w:rFonts w:eastAsia="標楷體"/>
          <w:color w:val="000000" w:themeColor="text1"/>
        </w:rPr>
      </w:pPr>
      <w:r w:rsidRPr="004F31C4">
        <w:rPr>
          <w:rFonts w:eastAsia="標楷體"/>
          <w:color w:val="000000" w:themeColor="text1"/>
        </w:rPr>
        <w:t>蒐集並分析</w:t>
      </w:r>
      <w:r w:rsidR="0047513A" w:rsidRPr="004F31C4">
        <w:rPr>
          <w:rFonts w:eastAsia="標楷體"/>
          <w:color w:val="000000" w:themeColor="text1"/>
        </w:rPr>
        <w:t>亞太區域</w:t>
      </w:r>
      <w:r w:rsidRPr="004F31C4">
        <w:rPr>
          <w:rFonts w:eastAsia="標楷體"/>
          <w:color w:val="000000" w:themeColor="text1"/>
        </w:rPr>
        <w:t>國家或邦交國家於全球衛生與衛生安全相關議題之最新發展動向以及國家</w:t>
      </w:r>
      <w:r w:rsidR="00350498" w:rsidRPr="004F31C4">
        <w:rPr>
          <w:rFonts w:ascii="標楷體" w:eastAsia="標楷體" w:hAnsi="標楷體" w:hint="eastAsia"/>
          <w:color w:val="000000" w:themeColor="text1"/>
        </w:rPr>
        <w:t>公共衛生</w:t>
      </w:r>
      <w:r w:rsidRPr="004F31C4">
        <w:rPr>
          <w:rFonts w:eastAsia="標楷體"/>
          <w:color w:val="000000" w:themeColor="text1"/>
        </w:rPr>
        <w:t>整備和</w:t>
      </w:r>
      <w:r w:rsidR="008B6087" w:rsidRPr="004F31C4">
        <w:rPr>
          <w:rFonts w:eastAsia="標楷體"/>
          <w:color w:val="000000" w:themeColor="text1"/>
        </w:rPr>
        <w:t>核心</w:t>
      </w:r>
      <w:r w:rsidRPr="004F31C4">
        <w:rPr>
          <w:rFonts w:eastAsia="標楷體"/>
          <w:color w:val="000000" w:themeColor="text1"/>
        </w:rPr>
        <w:t>能力的資訊。</w:t>
      </w:r>
    </w:p>
    <w:p w:rsidR="00E8178C" w:rsidRPr="004F31C4" w:rsidRDefault="002C4512" w:rsidP="00FE4AE7">
      <w:pPr>
        <w:pStyle w:val="ac"/>
        <w:numPr>
          <w:ilvl w:val="1"/>
          <w:numId w:val="13"/>
        </w:numPr>
        <w:spacing w:line="400" w:lineRule="exact"/>
        <w:ind w:leftChars="0" w:left="1843" w:hanging="567"/>
        <w:jc w:val="both"/>
        <w:rPr>
          <w:rFonts w:eastAsia="標楷體"/>
          <w:color w:val="000000" w:themeColor="text1"/>
        </w:rPr>
      </w:pPr>
      <w:r w:rsidRPr="004F31C4">
        <w:rPr>
          <w:rFonts w:eastAsia="標楷體"/>
          <w:color w:val="000000" w:themeColor="text1"/>
        </w:rPr>
        <w:t>從事全球衛生相關之國際交流</w:t>
      </w:r>
      <w:r w:rsidR="0047484D" w:rsidRPr="004F31C4">
        <w:rPr>
          <w:rFonts w:eastAsia="標楷體"/>
          <w:color w:val="000000" w:themeColor="text1"/>
        </w:rPr>
        <w:t>，</w:t>
      </w:r>
      <w:r w:rsidR="0047513A" w:rsidRPr="004F31C4">
        <w:rPr>
          <w:rFonts w:eastAsia="標楷體"/>
          <w:color w:val="000000" w:themeColor="text1"/>
        </w:rPr>
        <w:t>鏈結與</w:t>
      </w:r>
      <w:r w:rsidR="0047484D" w:rsidRPr="004F31C4">
        <w:rPr>
          <w:rFonts w:eastAsia="標楷體"/>
          <w:color w:val="000000" w:themeColor="text1"/>
        </w:rPr>
        <w:t>推動</w:t>
      </w:r>
      <w:r w:rsidR="0047513A" w:rsidRPr="004F31C4">
        <w:rPr>
          <w:rFonts w:eastAsia="標楷體"/>
          <w:color w:val="000000" w:themeColor="text1"/>
        </w:rPr>
        <w:t>更宏觀之</w:t>
      </w:r>
      <w:r w:rsidR="00350498" w:rsidRPr="004F31C4">
        <w:rPr>
          <w:rFonts w:ascii="標楷體" w:eastAsia="標楷體" w:hAnsi="標楷體" w:hint="eastAsia"/>
          <w:color w:val="000000" w:themeColor="text1"/>
        </w:rPr>
        <w:t>公共衛生</w:t>
      </w:r>
      <w:r w:rsidR="0047513A" w:rsidRPr="004F31C4">
        <w:rPr>
          <w:rFonts w:eastAsia="標楷體"/>
          <w:color w:val="000000" w:themeColor="text1"/>
        </w:rPr>
        <w:t>政策</w:t>
      </w:r>
      <w:r w:rsidRPr="004F31C4">
        <w:rPr>
          <w:rFonts w:eastAsia="標楷體"/>
          <w:color w:val="000000" w:themeColor="text1"/>
        </w:rPr>
        <w:t>。</w:t>
      </w:r>
    </w:p>
    <w:p w:rsidR="002C4512" w:rsidRPr="004F31C4" w:rsidRDefault="002C4512" w:rsidP="00FE4AE7">
      <w:pPr>
        <w:pStyle w:val="ac"/>
        <w:numPr>
          <w:ilvl w:val="1"/>
          <w:numId w:val="13"/>
        </w:numPr>
        <w:spacing w:line="400" w:lineRule="exact"/>
        <w:ind w:leftChars="0" w:left="1843" w:hanging="567"/>
        <w:jc w:val="both"/>
        <w:rPr>
          <w:rFonts w:eastAsia="標楷體"/>
          <w:color w:val="000000" w:themeColor="text1"/>
        </w:rPr>
      </w:pPr>
      <w:r w:rsidRPr="004F31C4">
        <w:rPr>
          <w:rFonts w:eastAsia="標楷體"/>
          <w:color w:val="000000" w:themeColor="text1"/>
        </w:rPr>
        <w:t>辦理全球衛生相關之研討會暨教育訓練</w:t>
      </w:r>
      <w:r w:rsidR="001F2602" w:rsidRPr="004F31C4">
        <w:rPr>
          <w:rFonts w:eastAsia="標楷體"/>
          <w:color w:val="000000" w:themeColor="text1"/>
        </w:rPr>
        <w:t>。</w:t>
      </w:r>
    </w:p>
    <w:p w:rsidR="0093127B" w:rsidRPr="004F31C4" w:rsidRDefault="0093127B" w:rsidP="00FE4AE7">
      <w:pPr>
        <w:pStyle w:val="ac"/>
        <w:numPr>
          <w:ilvl w:val="1"/>
          <w:numId w:val="13"/>
        </w:numPr>
        <w:spacing w:line="400" w:lineRule="exact"/>
        <w:ind w:leftChars="0" w:left="1843" w:hanging="567"/>
        <w:jc w:val="both"/>
        <w:rPr>
          <w:rFonts w:eastAsia="標楷體"/>
          <w:color w:val="000000" w:themeColor="text1"/>
        </w:rPr>
      </w:pPr>
      <w:r w:rsidRPr="004F31C4">
        <w:rPr>
          <w:rFonts w:eastAsia="標楷體"/>
          <w:color w:val="000000" w:themeColor="text1"/>
        </w:rPr>
        <w:t>參與及協助亞太公共衞生學術聯盟</w:t>
      </w:r>
      <w:r w:rsidR="008B6087" w:rsidRPr="004F31C4">
        <w:rPr>
          <w:rFonts w:eastAsia="標楷體"/>
          <w:color w:val="000000" w:themeColor="text1"/>
        </w:rPr>
        <w:t>(Asia-Pacific Academic Consortium for Public Health</w:t>
      </w:r>
      <w:r w:rsidR="008B6087" w:rsidRPr="004F31C4">
        <w:rPr>
          <w:rFonts w:eastAsia="標楷體"/>
          <w:color w:val="000000" w:themeColor="text1"/>
        </w:rPr>
        <w:t>，</w:t>
      </w:r>
      <w:r w:rsidR="008B6087" w:rsidRPr="004F31C4">
        <w:rPr>
          <w:rFonts w:eastAsia="標楷體"/>
          <w:color w:val="000000" w:themeColor="text1"/>
        </w:rPr>
        <w:t>APACPH)</w:t>
      </w:r>
      <w:r w:rsidRPr="004F31C4">
        <w:rPr>
          <w:rFonts w:eastAsia="標楷體"/>
          <w:color w:val="000000" w:themeColor="text1"/>
        </w:rPr>
        <w:t>相關活動。</w:t>
      </w:r>
    </w:p>
    <w:p w:rsidR="00E30B77" w:rsidRPr="004F31C4" w:rsidRDefault="00E30B77" w:rsidP="00F21491">
      <w:pPr>
        <w:numPr>
          <w:ilvl w:val="0"/>
          <w:numId w:val="13"/>
        </w:numPr>
        <w:tabs>
          <w:tab w:val="num" w:pos="1260"/>
        </w:tabs>
        <w:spacing w:beforeLines="50" w:before="180"/>
        <w:ind w:left="1260" w:hanging="1260"/>
        <w:rPr>
          <w:rFonts w:eastAsia="標楷體"/>
          <w:color w:val="000000" w:themeColor="text1"/>
        </w:rPr>
      </w:pPr>
      <w:r w:rsidRPr="004F31C4">
        <w:rPr>
          <w:rFonts w:eastAsia="標楷體"/>
          <w:color w:val="000000" w:themeColor="text1"/>
        </w:rPr>
        <w:t>本中心</w:t>
      </w:r>
      <w:r w:rsidR="00F21491" w:rsidRPr="004F31C4">
        <w:rPr>
          <w:rFonts w:eastAsia="標楷體"/>
          <w:color w:val="000000" w:themeColor="text1"/>
        </w:rPr>
        <w:t>置</w:t>
      </w:r>
      <w:r w:rsidRPr="004F31C4">
        <w:rPr>
          <w:rFonts w:eastAsia="標楷體"/>
          <w:color w:val="000000" w:themeColor="text1"/>
        </w:rPr>
        <w:t>主任一名，由學院院長就副教授以上專任教師遴選，陳請校長聘兼之。另</w:t>
      </w:r>
      <w:r w:rsidR="002C4512" w:rsidRPr="004F31C4">
        <w:rPr>
          <w:rFonts w:eastAsia="標楷體"/>
          <w:color w:val="000000" w:themeColor="text1"/>
        </w:rPr>
        <w:t>視需要設</w:t>
      </w:r>
      <w:r w:rsidRPr="004F31C4">
        <w:rPr>
          <w:rFonts w:eastAsia="標楷體"/>
          <w:color w:val="000000" w:themeColor="text1"/>
        </w:rPr>
        <w:t>置</w:t>
      </w:r>
      <w:r w:rsidR="002C4512" w:rsidRPr="004F31C4">
        <w:rPr>
          <w:rFonts w:eastAsia="標楷體"/>
          <w:color w:val="000000" w:themeColor="text1"/>
        </w:rPr>
        <w:t>專兼任</w:t>
      </w:r>
      <w:r w:rsidRPr="004F31C4">
        <w:rPr>
          <w:rFonts w:eastAsia="標楷體"/>
          <w:color w:val="000000" w:themeColor="text1"/>
        </w:rPr>
        <w:t>研究人員</w:t>
      </w:r>
      <w:r w:rsidR="00667C32" w:rsidRPr="004F31C4">
        <w:rPr>
          <w:rFonts w:eastAsia="標楷體" w:hint="eastAsia"/>
          <w:color w:val="000000" w:themeColor="text1"/>
        </w:rPr>
        <w:t>及</w:t>
      </w:r>
      <w:r w:rsidR="002C4512" w:rsidRPr="004F31C4">
        <w:rPr>
          <w:rFonts w:eastAsia="標楷體"/>
          <w:color w:val="000000" w:themeColor="text1"/>
        </w:rPr>
        <w:t>行政人員</w:t>
      </w:r>
      <w:r w:rsidRPr="004F31C4">
        <w:rPr>
          <w:rFonts w:eastAsia="標楷體"/>
          <w:color w:val="000000" w:themeColor="text1"/>
        </w:rPr>
        <w:t>若干名。</w:t>
      </w:r>
    </w:p>
    <w:p w:rsidR="006840B8" w:rsidRPr="004F31C4" w:rsidRDefault="0049177B" w:rsidP="0022455A">
      <w:pPr>
        <w:numPr>
          <w:ilvl w:val="0"/>
          <w:numId w:val="13"/>
        </w:numPr>
        <w:tabs>
          <w:tab w:val="num" w:pos="1260"/>
        </w:tabs>
        <w:spacing w:beforeLines="50" w:before="180" w:afterLines="50" w:after="180"/>
        <w:ind w:left="1259" w:hanging="1259"/>
        <w:rPr>
          <w:rFonts w:eastAsia="標楷體"/>
          <w:color w:val="000000" w:themeColor="text1"/>
        </w:rPr>
      </w:pPr>
      <w:r w:rsidRPr="004F31C4">
        <w:rPr>
          <w:rFonts w:eastAsia="標楷體"/>
          <w:color w:val="000000" w:themeColor="text1"/>
        </w:rPr>
        <w:t>本中心</w:t>
      </w:r>
      <w:r w:rsidR="00F21491" w:rsidRPr="004F31C4">
        <w:rPr>
          <w:rFonts w:eastAsia="標楷體"/>
          <w:color w:val="000000" w:themeColor="text1"/>
        </w:rPr>
        <w:t>所需</w:t>
      </w:r>
      <w:r w:rsidRPr="004F31C4">
        <w:rPr>
          <w:rFonts w:eastAsia="標楷體"/>
          <w:color w:val="000000" w:themeColor="text1"/>
        </w:rPr>
        <w:t>經費</w:t>
      </w:r>
      <w:r w:rsidR="00F21491" w:rsidRPr="004F31C4">
        <w:rPr>
          <w:rFonts w:eastAsia="標楷體"/>
          <w:color w:val="000000" w:themeColor="text1"/>
        </w:rPr>
        <w:t>及人力以</w:t>
      </w:r>
      <w:r w:rsidRPr="004F31C4">
        <w:rPr>
          <w:rFonts w:eastAsia="標楷體"/>
          <w:color w:val="000000" w:themeColor="text1"/>
        </w:rPr>
        <w:t>自籌</w:t>
      </w:r>
      <w:r w:rsidR="00F21491" w:rsidRPr="004F31C4">
        <w:rPr>
          <w:rFonts w:eastAsia="標楷體"/>
          <w:color w:val="000000" w:themeColor="text1"/>
        </w:rPr>
        <w:t>為原則</w:t>
      </w:r>
      <w:r w:rsidRPr="004F31C4">
        <w:rPr>
          <w:rFonts w:eastAsia="標楷體"/>
          <w:color w:val="000000" w:themeColor="text1"/>
        </w:rPr>
        <w:t>，並得接受捐贈以供學術之用；經費之籌措與使用，悉依</w:t>
      </w:r>
      <w:r w:rsidR="00F21491" w:rsidRPr="004F31C4">
        <w:rPr>
          <w:rFonts w:eastAsia="標楷體"/>
          <w:color w:val="000000" w:themeColor="text1"/>
        </w:rPr>
        <w:t>本校</w:t>
      </w:r>
      <w:r w:rsidRPr="004F31C4">
        <w:rPr>
          <w:rFonts w:eastAsia="標楷體"/>
          <w:color w:val="000000" w:themeColor="text1"/>
        </w:rPr>
        <w:t>相關規定辦理。</w:t>
      </w:r>
    </w:p>
    <w:p w:rsidR="001C763D" w:rsidRPr="004F31C4" w:rsidRDefault="004D7272" w:rsidP="001C763D">
      <w:pPr>
        <w:spacing w:beforeLines="50" w:before="180" w:afterLines="50" w:after="180"/>
        <w:ind w:left="1259" w:hanging="1259"/>
        <w:rPr>
          <w:rFonts w:eastAsia="標楷體"/>
          <w:color w:val="000000" w:themeColor="text1"/>
        </w:rPr>
      </w:pPr>
      <w:r w:rsidRPr="004F31C4">
        <w:rPr>
          <w:rFonts w:eastAsia="標楷體"/>
          <w:color w:val="000000" w:themeColor="text1"/>
        </w:rPr>
        <w:t>第五條</w:t>
      </w:r>
      <w:r w:rsidR="001C763D" w:rsidRPr="004F31C4">
        <w:rPr>
          <w:rFonts w:eastAsia="標楷體"/>
          <w:color w:val="000000" w:themeColor="text1"/>
        </w:rPr>
        <w:tab/>
      </w:r>
      <w:r w:rsidR="001C763D" w:rsidRPr="004F31C4">
        <w:rPr>
          <w:rFonts w:eastAsia="標楷體"/>
          <w:color w:val="000000" w:themeColor="text1"/>
        </w:rPr>
        <w:t>本中心績效</w:t>
      </w:r>
      <w:r w:rsidR="009F0371" w:rsidRPr="004F31C4">
        <w:rPr>
          <w:rFonts w:eastAsia="標楷體"/>
          <w:color w:val="000000" w:themeColor="text1"/>
        </w:rPr>
        <w:t>應</w:t>
      </w:r>
      <w:r w:rsidR="001C763D" w:rsidRPr="004F31C4">
        <w:rPr>
          <w:rFonts w:eastAsia="標楷體"/>
          <w:color w:val="000000" w:themeColor="text1"/>
        </w:rPr>
        <w:t>依據本學院院級研究中心評鑑辦法評核。</w:t>
      </w:r>
    </w:p>
    <w:p w:rsidR="004D7272" w:rsidRPr="004F31C4" w:rsidRDefault="001C763D" w:rsidP="0022455A">
      <w:pPr>
        <w:spacing w:beforeLines="50" w:before="180" w:afterLines="50" w:after="180"/>
        <w:rPr>
          <w:rFonts w:eastAsia="標楷體"/>
          <w:color w:val="000000" w:themeColor="text1"/>
        </w:rPr>
      </w:pPr>
      <w:r w:rsidRPr="004F31C4">
        <w:rPr>
          <w:rFonts w:eastAsia="標楷體"/>
          <w:color w:val="000000" w:themeColor="text1"/>
        </w:rPr>
        <w:t>第六條</w:t>
      </w:r>
      <w:r w:rsidRPr="004F31C4">
        <w:rPr>
          <w:rFonts w:eastAsia="標楷體"/>
          <w:color w:val="000000" w:themeColor="text1"/>
        </w:rPr>
        <w:t xml:space="preserve">    </w:t>
      </w:r>
      <w:r w:rsidR="004D7272" w:rsidRPr="004F31C4">
        <w:rPr>
          <w:rFonts w:eastAsia="標楷體"/>
          <w:color w:val="000000" w:themeColor="text1"/>
        </w:rPr>
        <w:t>本辦法未訂事項，依本校相關規定辦理。</w:t>
      </w:r>
    </w:p>
    <w:p w:rsidR="00AA708E" w:rsidRPr="004F31C4" w:rsidRDefault="001C763D" w:rsidP="0022455A">
      <w:pPr>
        <w:spacing w:beforeLines="50" w:before="180"/>
        <w:ind w:left="1200" w:hangingChars="500" w:hanging="1200"/>
        <w:rPr>
          <w:rFonts w:eastAsia="標楷體"/>
          <w:color w:val="000000" w:themeColor="text1"/>
        </w:rPr>
      </w:pPr>
      <w:r w:rsidRPr="004F31C4">
        <w:rPr>
          <w:rFonts w:eastAsia="標楷體"/>
          <w:color w:val="000000" w:themeColor="text1"/>
        </w:rPr>
        <w:t>第七</w:t>
      </w:r>
      <w:r w:rsidR="004D7272" w:rsidRPr="004F31C4">
        <w:rPr>
          <w:rFonts w:eastAsia="標楷體"/>
          <w:color w:val="000000" w:themeColor="text1"/>
        </w:rPr>
        <w:t>條</w:t>
      </w:r>
      <w:r w:rsidR="004D7272" w:rsidRPr="004F31C4">
        <w:rPr>
          <w:rFonts w:eastAsia="標楷體"/>
          <w:color w:val="000000" w:themeColor="text1"/>
        </w:rPr>
        <w:t xml:space="preserve">    </w:t>
      </w:r>
      <w:r w:rsidR="004D7272" w:rsidRPr="004F31C4">
        <w:rPr>
          <w:rFonts w:eastAsia="標楷體"/>
          <w:color w:val="000000" w:themeColor="text1"/>
        </w:rPr>
        <w:t>本辦法經院務會議及行政會議審議通過</w:t>
      </w:r>
      <w:r w:rsidR="003A3FEA" w:rsidRPr="004F31C4">
        <w:rPr>
          <w:rFonts w:eastAsia="標楷體"/>
          <w:color w:val="000000" w:themeColor="text1"/>
        </w:rPr>
        <w:t>後</w:t>
      </w:r>
      <w:r w:rsidR="004D7272" w:rsidRPr="004F31C4">
        <w:rPr>
          <w:rFonts w:eastAsia="標楷體"/>
          <w:color w:val="000000" w:themeColor="text1"/>
        </w:rPr>
        <w:t>，自公布日起實施，修正時亦同。</w:t>
      </w:r>
    </w:p>
    <w:sectPr w:rsidR="00AA708E" w:rsidRPr="004F31C4" w:rsidSect="00941485">
      <w:pgSz w:w="11906" w:h="16838"/>
      <w:pgMar w:top="1440" w:right="1134"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68" w:rsidRDefault="007D6068" w:rsidP="002F44D5">
      <w:r>
        <w:separator/>
      </w:r>
    </w:p>
  </w:endnote>
  <w:endnote w:type="continuationSeparator" w:id="0">
    <w:p w:rsidR="007D6068" w:rsidRDefault="007D6068" w:rsidP="002F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68" w:rsidRDefault="007D6068" w:rsidP="002F44D5">
      <w:r>
        <w:separator/>
      </w:r>
    </w:p>
  </w:footnote>
  <w:footnote w:type="continuationSeparator" w:id="0">
    <w:p w:rsidR="007D6068" w:rsidRDefault="007D6068" w:rsidP="002F44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7B5F"/>
    <w:multiLevelType w:val="hybridMultilevel"/>
    <w:tmpl w:val="8EF4D0A8"/>
    <w:lvl w:ilvl="0" w:tplc="6630A196">
      <w:start w:val="3"/>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F6F0F18"/>
    <w:multiLevelType w:val="hybridMultilevel"/>
    <w:tmpl w:val="8BBC12D0"/>
    <w:lvl w:ilvl="0" w:tplc="237221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C961F97"/>
    <w:multiLevelType w:val="hybridMultilevel"/>
    <w:tmpl w:val="3D72A346"/>
    <w:lvl w:ilvl="0" w:tplc="D472C4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EA1085B"/>
    <w:multiLevelType w:val="hybridMultilevel"/>
    <w:tmpl w:val="17F8D180"/>
    <w:lvl w:ilvl="0" w:tplc="03CCE154">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13D3F90"/>
    <w:multiLevelType w:val="hybridMultilevel"/>
    <w:tmpl w:val="1DF0D11C"/>
    <w:lvl w:ilvl="0" w:tplc="59184D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2814C8B"/>
    <w:multiLevelType w:val="hybridMultilevel"/>
    <w:tmpl w:val="B6C66FA2"/>
    <w:lvl w:ilvl="0" w:tplc="DD2A16C4">
      <w:start w:val="2"/>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D61EB1"/>
    <w:multiLevelType w:val="hybridMultilevel"/>
    <w:tmpl w:val="A26A3F64"/>
    <w:lvl w:ilvl="0" w:tplc="DD2A16C4">
      <w:start w:val="3"/>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480298"/>
    <w:multiLevelType w:val="hybridMultilevel"/>
    <w:tmpl w:val="8AEC14A0"/>
    <w:lvl w:ilvl="0" w:tplc="C6A67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8916AAF"/>
    <w:multiLevelType w:val="hybridMultilevel"/>
    <w:tmpl w:val="66204B2E"/>
    <w:lvl w:ilvl="0" w:tplc="5C8E4F5E">
      <w:start w:val="1"/>
      <w:numFmt w:val="taiwaneseCountingThousand"/>
      <w:lvlText w:val="第%1條"/>
      <w:lvlJc w:val="left"/>
      <w:pPr>
        <w:tabs>
          <w:tab w:val="num" w:pos="960"/>
        </w:tabs>
        <w:ind w:left="960" w:hanging="960"/>
      </w:pPr>
      <w:rPr>
        <w:rFonts w:hint="eastAsia"/>
      </w:rPr>
    </w:lvl>
    <w:lvl w:ilvl="1" w:tplc="AA22655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CC0A58"/>
    <w:multiLevelType w:val="hybridMultilevel"/>
    <w:tmpl w:val="1B027208"/>
    <w:lvl w:ilvl="0" w:tplc="9690B2DC">
      <w:start w:val="1"/>
      <w:numFmt w:val="taiwaneseCountingThousand"/>
      <w:lvlText w:val="%1、"/>
      <w:lvlJc w:val="left"/>
      <w:pPr>
        <w:tabs>
          <w:tab w:val="num" w:pos="510"/>
        </w:tabs>
        <w:ind w:left="510"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5D01E16"/>
    <w:multiLevelType w:val="hybridMultilevel"/>
    <w:tmpl w:val="1960CABE"/>
    <w:lvl w:ilvl="0" w:tplc="E33874BA">
      <w:start w:val="1"/>
      <w:numFmt w:val="taiwaneseCountingThousand"/>
      <w:lvlText w:val="第%1條"/>
      <w:lvlJc w:val="left"/>
      <w:pPr>
        <w:tabs>
          <w:tab w:val="num" w:pos="1288"/>
        </w:tabs>
        <w:ind w:left="1288" w:hanging="720"/>
      </w:pPr>
      <w:rPr>
        <w:rFonts w:cs="Times New Roman" w:hint="default"/>
        <w:u w:val="none"/>
      </w:rPr>
    </w:lvl>
    <w:lvl w:ilvl="1" w:tplc="48381974">
      <w:start w:val="1"/>
      <w:numFmt w:val="taiwaneseCountingThousand"/>
      <w:lvlText w:val="%2、"/>
      <w:lvlJc w:val="left"/>
      <w:pPr>
        <w:tabs>
          <w:tab w:val="num" w:pos="1408"/>
        </w:tabs>
        <w:ind w:left="1408" w:hanging="360"/>
      </w:pPr>
      <w:rPr>
        <w:rFonts w:hint="default"/>
      </w:r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1" w15:restartNumberingAfterBreak="0">
    <w:nsid w:val="76183B13"/>
    <w:multiLevelType w:val="hybridMultilevel"/>
    <w:tmpl w:val="1A3A6C64"/>
    <w:lvl w:ilvl="0" w:tplc="177C48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7C87E26"/>
    <w:multiLevelType w:val="hybridMultilevel"/>
    <w:tmpl w:val="DF988906"/>
    <w:lvl w:ilvl="0" w:tplc="0854C49A">
      <w:start w:val="1"/>
      <w:numFmt w:val="taiwaneseCountingThousand"/>
      <w:lvlText w:val="第%1條"/>
      <w:lvlJc w:val="left"/>
      <w:pPr>
        <w:tabs>
          <w:tab w:val="num" w:pos="180"/>
        </w:tabs>
        <w:ind w:left="180" w:hanging="8460"/>
      </w:pPr>
      <w:rPr>
        <w:rFonts w:hint="default"/>
      </w:rPr>
    </w:lvl>
    <w:lvl w:ilvl="1" w:tplc="04090019" w:tentative="1">
      <w:start w:val="1"/>
      <w:numFmt w:val="ideographTraditional"/>
      <w:lvlText w:val="%2、"/>
      <w:lvlJc w:val="left"/>
      <w:pPr>
        <w:tabs>
          <w:tab w:val="num" w:pos="-7320"/>
        </w:tabs>
        <w:ind w:left="-7320" w:hanging="480"/>
      </w:pPr>
    </w:lvl>
    <w:lvl w:ilvl="2" w:tplc="0409001B" w:tentative="1">
      <w:start w:val="1"/>
      <w:numFmt w:val="lowerRoman"/>
      <w:lvlText w:val="%3."/>
      <w:lvlJc w:val="right"/>
      <w:pPr>
        <w:tabs>
          <w:tab w:val="num" w:pos="-6840"/>
        </w:tabs>
        <w:ind w:left="-6840" w:hanging="480"/>
      </w:pPr>
    </w:lvl>
    <w:lvl w:ilvl="3" w:tplc="0409000F" w:tentative="1">
      <w:start w:val="1"/>
      <w:numFmt w:val="decimal"/>
      <w:lvlText w:val="%4."/>
      <w:lvlJc w:val="left"/>
      <w:pPr>
        <w:tabs>
          <w:tab w:val="num" w:pos="-6360"/>
        </w:tabs>
        <w:ind w:left="-6360" w:hanging="480"/>
      </w:pPr>
    </w:lvl>
    <w:lvl w:ilvl="4" w:tplc="04090019" w:tentative="1">
      <w:start w:val="1"/>
      <w:numFmt w:val="ideographTraditional"/>
      <w:lvlText w:val="%5、"/>
      <w:lvlJc w:val="left"/>
      <w:pPr>
        <w:tabs>
          <w:tab w:val="num" w:pos="-5880"/>
        </w:tabs>
        <w:ind w:left="-588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3960"/>
        </w:tabs>
        <w:ind w:left="-3960" w:hanging="480"/>
      </w:pPr>
    </w:lvl>
  </w:abstractNum>
  <w:num w:numId="1">
    <w:abstractNumId w:val="3"/>
  </w:num>
  <w:num w:numId="2">
    <w:abstractNumId w:val="12"/>
  </w:num>
  <w:num w:numId="3">
    <w:abstractNumId w:val="9"/>
  </w:num>
  <w:num w:numId="4">
    <w:abstractNumId w:val="8"/>
  </w:num>
  <w:num w:numId="5">
    <w:abstractNumId w:val="7"/>
  </w:num>
  <w:num w:numId="6">
    <w:abstractNumId w:val="2"/>
  </w:num>
  <w:num w:numId="7">
    <w:abstractNumId w:val="1"/>
  </w:num>
  <w:num w:numId="8">
    <w:abstractNumId w:val="11"/>
  </w:num>
  <w:num w:numId="9">
    <w:abstractNumId w:val="0"/>
  </w:num>
  <w:num w:numId="10">
    <w:abstractNumId w:val="5"/>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78"/>
    <w:rsid w:val="000116D7"/>
    <w:rsid w:val="00024AAB"/>
    <w:rsid w:val="0004685D"/>
    <w:rsid w:val="00085367"/>
    <w:rsid w:val="000A4822"/>
    <w:rsid w:val="00117A9B"/>
    <w:rsid w:val="00141AC8"/>
    <w:rsid w:val="00162B47"/>
    <w:rsid w:val="001C5C1B"/>
    <w:rsid w:val="001C763D"/>
    <w:rsid w:val="001E4B54"/>
    <w:rsid w:val="001E7E3D"/>
    <w:rsid w:val="001F2602"/>
    <w:rsid w:val="002156BB"/>
    <w:rsid w:val="0022455A"/>
    <w:rsid w:val="00243096"/>
    <w:rsid w:val="00254F18"/>
    <w:rsid w:val="00274B33"/>
    <w:rsid w:val="002B416C"/>
    <w:rsid w:val="002C1520"/>
    <w:rsid w:val="002C4512"/>
    <w:rsid w:val="002D5588"/>
    <w:rsid w:val="002F44D5"/>
    <w:rsid w:val="00300D33"/>
    <w:rsid w:val="00307456"/>
    <w:rsid w:val="00350498"/>
    <w:rsid w:val="00360D8A"/>
    <w:rsid w:val="00376EBB"/>
    <w:rsid w:val="003A3FEA"/>
    <w:rsid w:val="003E5FFB"/>
    <w:rsid w:val="004050CC"/>
    <w:rsid w:val="0047484D"/>
    <w:rsid w:val="0047513A"/>
    <w:rsid w:val="0049177B"/>
    <w:rsid w:val="00496523"/>
    <w:rsid w:val="004D7272"/>
    <w:rsid w:val="004E3222"/>
    <w:rsid w:val="004F31C4"/>
    <w:rsid w:val="004F68B0"/>
    <w:rsid w:val="005022D0"/>
    <w:rsid w:val="00545AE4"/>
    <w:rsid w:val="00565813"/>
    <w:rsid w:val="00572E59"/>
    <w:rsid w:val="00574BA0"/>
    <w:rsid w:val="005809F9"/>
    <w:rsid w:val="005D7838"/>
    <w:rsid w:val="005E5C6C"/>
    <w:rsid w:val="005E5CF6"/>
    <w:rsid w:val="0061093E"/>
    <w:rsid w:val="00641146"/>
    <w:rsid w:val="00667C32"/>
    <w:rsid w:val="006840B8"/>
    <w:rsid w:val="006D04F9"/>
    <w:rsid w:val="006D2302"/>
    <w:rsid w:val="006F4B7D"/>
    <w:rsid w:val="00751FDF"/>
    <w:rsid w:val="00783622"/>
    <w:rsid w:val="007C7D2E"/>
    <w:rsid w:val="007D6068"/>
    <w:rsid w:val="007F53A5"/>
    <w:rsid w:val="0080126C"/>
    <w:rsid w:val="00805DF0"/>
    <w:rsid w:val="008254A5"/>
    <w:rsid w:val="0089055D"/>
    <w:rsid w:val="008A339B"/>
    <w:rsid w:val="008A3D72"/>
    <w:rsid w:val="008B6087"/>
    <w:rsid w:val="008C5D87"/>
    <w:rsid w:val="008F4FCE"/>
    <w:rsid w:val="009135CB"/>
    <w:rsid w:val="0093080A"/>
    <w:rsid w:val="0093127B"/>
    <w:rsid w:val="00941485"/>
    <w:rsid w:val="009457E6"/>
    <w:rsid w:val="00964C39"/>
    <w:rsid w:val="00981FDC"/>
    <w:rsid w:val="0099513C"/>
    <w:rsid w:val="009A6873"/>
    <w:rsid w:val="009B0C9A"/>
    <w:rsid w:val="009B1327"/>
    <w:rsid w:val="009C5F4F"/>
    <w:rsid w:val="009F0371"/>
    <w:rsid w:val="00A26499"/>
    <w:rsid w:val="00A30FB0"/>
    <w:rsid w:val="00A61C30"/>
    <w:rsid w:val="00A85103"/>
    <w:rsid w:val="00A91CBF"/>
    <w:rsid w:val="00A962C2"/>
    <w:rsid w:val="00AA708E"/>
    <w:rsid w:val="00B107C3"/>
    <w:rsid w:val="00B15BAE"/>
    <w:rsid w:val="00B15C2E"/>
    <w:rsid w:val="00B5373A"/>
    <w:rsid w:val="00B60157"/>
    <w:rsid w:val="00B62C9D"/>
    <w:rsid w:val="00B84A35"/>
    <w:rsid w:val="00BB6A42"/>
    <w:rsid w:val="00C03B8A"/>
    <w:rsid w:val="00C546D7"/>
    <w:rsid w:val="00C61020"/>
    <w:rsid w:val="00C71E7C"/>
    <w:rsid w:val="00C72E5A"/>
    <w:rsid w:val="00C9044D"/>
    <w:rsid w:val="00C9689B"/>
    <w:rsid w:val="00CB0EC0"/>
    <w:rsid w:val="00CB33FD"/>
    <w:rsid w:val="00CD2A2B"/>
    <w:rsid w:val="00D04E34"/>
    <w:rsid w:val="00D60899"/>
    <w:rsid w:val="00DD6E20"/>
    <w:rsid w:val="00DE3987"/>
    <w:rsid w:val="00DE42A7"/>
    <w:rsid w:val="00E12178"/>
    <w:rsid w:val="00E30B77"/>
    <w:rsid w:val="00E3655E"/>
    <w:rsid w:val="00E40DAF"/>
    <w:rsid w:val="00E46B9F"/>
    <w:rsid w:val="00E525E4"/>
    <w:rsid w:val="00E77612"/>
    <w:rsid w:val="00E8178C"/>
    <w:rsid w:val="00E849C4"/>
    <w:rsid w:val="00E915EE"/>
    <w:rsid w:val="00F21491"/>
    <w:rsid w:val="00F2416E"/>
    <w:rsid w:val="00F41402"/>
    <w:rsid w:val="00F44CF1"/>
    <w:rsid w:val="00FB1B4E"/>
    <w:rsid w:val="00FB526A"/>
    <w:rsid w:val="00FD7CA5"/>
    <w:rsid w:val="00FE0FD6"/>
    <w:rsid w:val="00FE4511"/>
    <w:rsid w:val="00FE4A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F71D1"/>
  <w15:docId w15:val="{492834C3-C4CB-495E-BE05-94CE5B9B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21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121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4">
    <w:name w:val="annotation reference"/>
    <w:basedOn w:val="a0"/>
    <w:semiHidden/>
    <w:rsid w:val="005022D0"/>
    <w:rPr>
      <w:sz w:val="18"/>
      <w:szCs w:val="18"/>
    </w:rPr>
  </w:style>
  <w:style w:type="paragraph" w:styleId="a5">
    <w:name w:val="annotation text"/>
    <w:basedOn w:val="a"/>
    <w:semiHidden/>
    <w:rsid w:val="005022D0"/>
  </w:style>
  <w:style w:type="paragraph" w:styleId="a6">
    <w:name w:val="annotation subject"/>
    <w:basedOn w:val="a5"/>
    <w:next w:val="a5"/>
    <w:semiHidden/>
    <w:rsid w:val="005022D0"/>
    <w:rPr>
      <w:b/>
      <w:bCs/>
    </w:rPr>
  </w:style>
  <w:style w:type="paragraph" w:styleId="a7">
    <w:name w:val="Balloon Text"/>
    <w:basedOn w:val="a"/>
    <w:semiHidden/>
    <w:rsid w:val="005022D0"/>
    <w:rPr>
      <w:rFonts w:ascii="Arial" w:hAnsi="Arial"/>
      <w:sz w:val="18"/>
      <w:szCs w:val="18"/>
    </w:rPr>
  </w:style>
  <w:style w:type="paragraph" w:styleId="a8">
    <w:name w:val="header"/>
    <w:basedOn w:val="a"/>
    <w:link w:val="a9"/>
    <w:rsid w:val="002F44D5"/>
    <w:pPr>
      <w:tabs>
        <w:tab w:val="center" w:pos="4153"/>
        <w:tab w:val="right" w:pos="8306"/>
      </w:tabs>
      <w:snapToGrid w:val="0"/>
    </w:pPr>
    <w:rPr>
      <w:sz w:val="20"/>
      <w:szCs w:val="20"/>
    </w:rPr>
  </w:style>
  <w:style w:type="character" w:customStyle="1" w:styleId="a9">
    <w:name w:val="頁首 字元"/>
    <w:basedOn w:val="a0"/>
    <w:link w:val="a8"/>
    <w:rsid w:val="002F44D5"/>
    <w:rPr>
      <w:kern w:val="2"/>
    </w:rPr>
  </w:style>
  <w:style w:type="paragraph" w:styleId="aa">
    <w:name w:val="footer"/>
    <w:basedOn w:val="a"/>
    <w:link w:val="ab"/>
    <w:rsid w:val="002F44D5"/>
    <w:pPr>
      <w:tabs>
        <w:tab w:val="center" w:pos="4153"/>
        <w:tab w:val="right" w:pos="8306"/>
      </w:tabs>
      <w:snapToGrid w:val="0"/>
    </w:pPr>
    <w:rPr>
      <w:sz w:val="20"/>
      <w:szCs w:val="20"/>
    </w:rPr>
  </w:style>
  <w:style w:type="character" w:customStyle="1" w:styleId="ab">
    <w:name w:val="頁尾 字元"/>
    <w:basedOn w:val="a0"/>
    <w:link w:val="aa"/>
    <w:rsid w:val="002F44D5"/>
    <w:rPr>
      <w:kern w:val="2"/>
    </w:rPr>
  </w:style>
  <w:style w:type="paragraph" w:styleId="ac">
    <w:name w:val="List Paragraph"/>
    <w:basedOn w:val="a"/>
    <w:uiPriority w:val="34"/>
    <w:qFormat/>
    <w:rsid w:val="008C5D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122</Words>
  <Characters>699</Characters>
  <Application>Microsoft Office Word</Application>
  <DocSecurity>0</DocSecurity>
  <Lines>5</Lines>
  <Paragraphs>1</Paragraphs>
  <ScaleCrop>false</ScaleCrop>
  <Company>CMT</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高雄醫學大學健康科學院健康與社會政策研究中心設置辦法（修正條文對照表）</dc:title>
  <dc:subject/>
  <dc:creator>user</dc:creator>
  <cp:keywords/>
  <dc:description/>
  <cp:lastModifiedBy>user</cp:lastModifiedBy>
  <cp:revision>27</cp:revision>
  <cp:lastPrinted>2022-04-15T00:38:00Z</cp:lastPrinted>
  <dcterms:created xsi:type="dcterms:W3CDTF">2022-05-12T05:55:00Z</dcterms:created>
  <dcterms:modified xsi:type="dcterms:W3CDTF">2025-05-29T08:33:00Z</dcterms:modified>
</cp:coreProperties>
</file>