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35" w:rsidRPr="00F928E4" w:rsidRDefault="00A70335" w:rsidP="00A70335">
      <w:pPr>
        <w:rPr>
          <w:rFonts w:ascii="標楷體" w:eastAsia="標楷體" w:hAnsi="標楷體"/>
          <w:b/>
          <w:sz w:val="32"/>
          <w:szCs w:val="28"/>
        </w:rPr>
      </w:pPr>
      <w:r w:rsidRPr="00F928E4">
        <w:rPr>
          <w:rFonts w:ascii="標楷體" w:eastAsia="標楷體" w:cs="標楷體" w:hint="eastAsia"/>
          <w:b/>
          <w:noProof/>
          <w:sz w:val="32"/>
          <w:szCs w:val="28"/>
        </w:rPr>
        <w:t>國立</w:t>
      </w:r>
      <w:r w:rsidRPr="00F928E4">
        <w:rPr>
          <w:rFonts w:ascii="標楷體" w:eastAsia="標楷體" w:hAnsi="標楷體" w:hint="eastAsia"/>
          <w:b/>
          <w:sz w:val="32"/>
          <w:szCs w:val="28"/>
        </w:rPr>
        <w:t>中山大學及高雄醫學大學辦理</w:t>
      </w:r>
      <w:proofErr w:type="gramStart"/>
      <w:r w:rsidRPr="00F928E4">
        <w:rPr>
          <w:rFonts w:ascii="標楷體" w:eastAsia="標楷體" w:hAnsi="標楷體" w:hint="eastAsia"/>
          <w:b/>
          <w:sz w:val="32"/>
          <w:szCs w:val="28"/>
        </w:rPr>
        <w:t>跨校輔系</w:t>
      </w:r>
      <w:proofErr w:type="gramEnd"/>
      <w:r w:rsidRPr="00F928E4">
        <w:rPr>
          <w:rFonts w:ascii="標楷體" w:eastAsia="標楷體" w:hAnsi="標楷體" w:hint="eastAsia"/>
          <w:b/>
          <w:sz w:val="32"/>
          <w:szCs w:val="28"/>
        </w:rPr>
        <w:t>辦法</w:t>
      </w:r>
    </w:p>
    <w:p w:rsidR="00A70335" w:rsidRPr="00AB620A" w:rsidRDefault="00A70335" w:rsidP="00AB620A">
      <w:pPr>
        <w:spacing w:line="240" w:lineRule="exact"/>
        <w:ind w:firstLineChars="2410" w:firstLine="4820"/>
        <w:rPr>
          <w:rFonts w:ascii="Times New Roman" w:eastAsia="標楷體" w:hAnsi="Times New Roman"/>
          <w:sz w:val="20"/>
        </w:rPr>
      </w:pPr>
      <w:r w:rsidRPr="00AB620A">
        <w:rPr>
          <w:rFonts w:ascii="Times New Roman" w:eastAsia="標楷體" w:hAnsi="Times New Roman"/>
          <w:sz w:val="20"/>
        </w:rPr>
        <w:t>101.12.27</w:t>
      </w:r>
      <w:r w:rsidRPr="00AB620A">
        <w:rPr>
          <w:rFonts w:ascii="Times New Roman" w:eastAsia="標楷體" w:hAnsi="Times New Roman"/>
          <w:sz w:val="20"/>
        </w:rPr>
        <w:t>中山高</w:t>
      </w:r>
      <w:proofErr w:type="gramStart"/>
      <w:r w:rsidRPr="00AB620A">
        <w:rPr>
          <w:rFonts w:ascii="Times New Roman" w:eastAsia="標楷體" w:hAnsi="Times New Roman"/>
          <w:sz w:val="20"/>
        </w:rPr>
        <w:t>醫</w:t>
      </w:r>
      <w:proofErr w:type="gramEnd"/>
      <w:r w:rsidRPr="00AB620A">
        <w:rPr>
          <w:rFonts w:ascii="Times New Roman" w:eastAsia="標楷體" w:hAnsi="Times New Roman"/>
          <w:sz w:val="20"/>
        </w:rPr>
        <w:t>攻頂大學聯盟教務工作圈第</w:t>
      </w:r>
      <w:r w:rsidRPr="00AB620A">
        <w:rPr>
          <w:rFonts w:ascii="Times New Roman" w:eastAsia="標楷體" w:hAnsi="Times New Roman"/>
          <w:sz w:val="20"/>
        </w:rPr>
        <w:t>2</w:t>
      </w:r>
      <w:r w:rsidRPr="00AB620A">
        <w:rPr>
          <w:rFonts w:ascii="Times New Roman" w:eastAsia="標楷體" w:hAnsi="Times New Roman"/>
          <w:sz w:val="20"/>
        </w:rPr>
        <w:t>次會議通過</w:t>
      </w:r>
    </w:p>
    <w:p w:rsidR="00A70335" w:rsidRPr="00AB620A" w:rsidRDefault="00A70335" w:rsidP="00AB620A">
      <w:pPr>
        <w:spacing w:line="240" w:lineRule="exact"/>
        <w:ind w:firstLineChars="2410" w:firstLine="4820"/>
        <w:rPr>
          <w:rFonts w:ascii="Times New Roman" w:eastAsia="標楷體"/>
          <w:sz w:val="20"/>
        </w:rPr>
      </w:pPr>
      <w:r w:rsidRPr="00AB620A">
        <w:rPr>
          <w:rFonts w:ascii="Times New Roman" w:eastAsia="標楷體" w:hAnsi="Times New Roman"/>
          <w:sz w:val="20"/>
        </w:rPr>
        <w:t>102.01.24</w:t>
      </w:r>
      <w:proofErr w:type="gramStart"/>
      <w:r w:rsidRPr="00AB620A">
        <w:rPr>
          <w:rFonts w:ascii="Times New Roman" w:eastAsia="標楷體"/>
          <w:sz w:val="20"/>
        </w:rPr>
        <w:t>一</w:t>
      </w:r>
      <w:proofErr w:type="gramEnd"/>
      <w:r w:rsidRPr="00AB620A">
        <w:rPr>
          <w:rFonts w:ascii="Times New Roman" w:eastAsia="標楷體" w:hAnsi="Times New Roman"/>
          <w:sz w:val="20"/>
        </w:rPr>
        <w:t>O</w:t>
      </w:r>
      <w:r w:rsidRPr="00AB620A">
        <w:rPr>
          <w:rFonts w:ascii="Times New Roman" w:eastAsia="標楷體"/>
          <w:sz w:val="20"/>
        </w:rPr>
        <w:t>一學年度第三次教務會議通過</w:t>
      </w:r>
    </w:p>
    <w:p w:rsidR="00A70335" w:rsidRPr="00AB620A" w:rsidRDefault="00A70335" w:rsidP="00AB620A">
      <w:pPr>
        <w:spacing w:line="240" w:lineRule="exact"/>
        <w:ind w:rightChars="-119" w:right="-286" w:firstLineChars="2410" w:firstLine="4820"/>
        <w:rPr>
          <w:rFonts w:ascii="Times New Roman" w:eastAsia="標楷體" w:hAnsi="Times New Roman"/>
          <w:sz w:val="20"/>
        </w:rPr>
      </w:pPr>
      <w:r w:rsidRPr="00AB620A">
        <w:rPr>
          <w:rFonts w:ascii="Times New Roman" w:eastAsia="標楷體" w:hAnsi="Times New Roman" w:hint="eastAsia"/>
          <w:sz w:val="20"/>
        </w:rPr>
        <w:t>102.06.25</w:t>
      </w:r>
      <w:r w:rsidRPr="00AB620A">
        <w:rPr>
          <w:rFonts w:ascii="Times New Roman" w:eastAsia="標楷體" w:hAnsi="Times New Roman" w:hint="eastAsia"/>
          <w:sz w:val="20"/>
        </w:rPr>
        <w:t>教育部</w:t>
      </w:r>
      <w:proofErr w:type="gramStart"/>
      <w:r w:rsidRPr="00AB620A">
        <w:rPr>
          <w:rFonts w:ascii="Times New Roman" w:eastAsia="標楷體" w:hAnsi="Times New Roman" w:hint="eastAsia"/>
          <w:sz w:val="20"/>
        </w:rPr>
        <w:t>臺</w:t>
      </w:r>
      <w:proofErr w:type="gramEnd"/>
      <w:r w:rsidRPr="00AB620A">
        <w:rPr>
          <w:rFonts w:ascii="Times New Roman" w:eastAsia="標楷體" w:hAnsi="Times New Roman" w:hint="eastAsia"/>
          <w:sz w:val="20"/>
        </w:rPr>
        <w:t>高</w:t>
      </w:r>
      <w:r w:rsidRPr="00AB620A">
        <w:rPr>
          <w:rFonts w:ascii="Times New Roman" w:eastAsia="標楷體" w:hAnsi="Times New Roman" w:hint="eastAsia"/>
          <w:sz w:val="20"/>
        </w:rPr>
        <w:t>(</w:t>
      </w:r>
      <w:r w:rsidRPr="00AB620A">
        <w:rPr>
          <w:rFonts w:ascii="Times New Roman" w:eastAsia="標楷體" w:hAnsi="Times New Roman" w:hint="eastAsia"/>
          <w:sz w:val="20"/>
        </w:rPr>
        <w:t>二</w:t>
      </w:r>
      <w:r w:rsidRPr="00AB620A">
        <w:rPr>
          <w:rFonts w:ascii="Times New Roman" w:eastAsia="標楷體" w:hAnsi="Times New Roman" w:hint="eastAsia"/>
          <w:sz w:val="20"/>
        </w:rPr>
        <w:t>)</w:t>
      </w:r>
      <w:r w:rsidRPr="00AB620A">
        <w:rPr>
          <w:rFonts w:ascii="Times New Roman" w:eastAsia="標楷體" w:hAnsi="Times New Roman" w:hint="eastAsia"/>
          <w:sz w:val="20"/>
        </w:rPr>
        <w:t>字第</w:t>
      </w:r>
      <w:r w:rsidRPr="00AB620A">
        <w:rPr>
          <w:rFonts w:ascii="Times New Roman" w:eastAsia="標楷體" w:hAnsi="Times New Roman" w:hint="eastAsia"/>
          <w:sz w:val="20"/>
        </w:rPr>
        <w:t>1020095977</w:t>
      </w:r>
      <w:r w:rsidRPr="00AB620A">
        <w:rPr>
          <w:rFonts w:ascii="Times New Roman" w:eastAsia="標楷體" w:hAnsi="Times New Roman" w:hint="eastAsia"/>
          <w:sz w:val="20"/>
        </w:rPr>
        <w:t>號函備查第</w:t>
      </w:r>
      <w:r w:rsidRPr="00AB620A">
        <w:rPr>
          <w:rFonts w:ascii="Times New Roman" w:eastAsia="標楷體" w:hAnsi="Times New Roman" w:hint="eastAsia"/>
          <w:sz w:val="20"/>
        </w:rPr>
        <w:t>1</w:t>
      </w:r>
      <w:r w:rsidRPr="00AB620A">
        <w:rPr>
          <w:rFonts w:ascii="Times New Roman" w:eastAsia="標楷體" w:hAnsi="Times New Roman" w:hint="eastAsia"/>
          <w:sz w:val="20"/>
        </w:rPr>
        <w:t>至</w:t>
      </w:r>
      <w:r w:rsidRPr="00AB620A">
        <w:rPr>
          <w:rFonts w:ascii="Times New Roman" w:eastAsia="標楷體" w:hAnsi="Times New Roman" w:hint="eastAsia"/>
          <w:sz w:val="20"/>
        </w:rPr>
        <w:t>8</w:t>
      </w:r>
      <w:r w:rsidRPr="00AB620A">
        <w:rPr>
          <w:rFonts w:ascii="Times New Roman" w:eastAsia="標楷體" w:hAnsi="Times New Roman" w:hint="eastAsia"/>
          <w:sz w:val="20"/>
        </w:rPr>
        <w:t>條</w:t>
      </w:r>
    </w:p>
    <w:p w:rsidR="00A70335" w:rsidRPr="00AB620A" w:rsidRDefault="00A70335" w:rsidP="00AB620A">
      <w:pPr>
        <w:spacing w:line="240" w:lineRule="exact"/>
        <w:ind w:rightChars="-119" w:right="-286" w:firstLineChars="2410" w:firstLine="4820"/>
        <w:rPr>
          <w:rFonts w:ascii="Times New Roman" w:eastAsia="標楷體" w:hAnsi="Times New Roman"/>
          <w:sz w:val="20"/>
        </w:rPr>
      </w:pPr>
      <w:r w:rsidRPr="00AB620A">
        <w:rPr>
          <w:rFonts w:ascii="Times New Roman" w:eastAsia="標楷體" w:hAnsi="Times New Roman" w:hint="eastAsia"/>
          <w:sz w:val="20"/>
        </w:rPr>
        <w:t>102.08.19</w:t>
      </w:r>
      <w:r w:rsidRPr="00AB620A">
        <w:rPr>
          <w:rFonts w:ascii="Times New Roman" w:eastAsia="標楷體" w:hAnsi="Times New Roman"/>
          <w:sz w:val="20"/>
        </w:rPr>
        <w:t>高</w:t>
      </w:r>
      <w:proofErr w:type="gramStart"/>
      <w:r w:rsidRPr="00AB620A">
        <w:rPr>
          <w:rFonts w:ascii="Times New Roman" w:eastAsia="標楷體" w:hAnsi="Times New Roman"/>
          <w:sz w:val="20"/>
        </w:rPr>
        <w:t>醫教字</w:t>
      </w:r>
      <w:proofErr w:type="gramEnd"/>
      <w:r w:rsidRPr="00AB620A">
        <w:rPr>
          <w:rFonts w:ascii="Times New Roman" w:eastAsia="標楷體" w:hAnsi="Times New Roman"/>
          <w:sz w:val="20"/>
        </w:rPr>
        <w:t>第</w:t>
      </w:r>
      <w:r w:rsidRPr="00AB620A">
        <w:rPr>
          <w:rFonts w:ascii="Times New Roman" w:eastAsia="標楷體" w:hAnsi="Times New Roman"/>
          <w:sz w:val="20"/>
        </w:rPr>
        <w:t>1021102482</w:t>
      </w:r>
      <w:r w:rsidRPr="00AB620A">
        <w:rPr>
          <w:rFonts w:ascii="Times New Roman" w:eastAsia="標楷體" w:hAnsi="Times New Roman"/>
          <w:sz w:val="20"/>
        </w:rPr>
        <w:t>號函公布</w:t>
      </w:r>
    </w:p>
    <w:p w:rsidR="00A70335" w:rsidRPr="00AB620A" w:rsidRDefault="00A70335" w:rsidP="00AB620A">
      <w:pPr>
        <w:spacing w:line="240" w:lineRule="exact"/>
        <w:ind w:rightChars="-119" w:right="-286" w:firstLineChars="2410" w:firstLine="4820"/>
        <w:rPr>
          <w:rFonts w:ascii="Times New Roman" w:eastAsia="標楷體" w:hAnsi="Times New Roman"/>
          <w:sz w:val="20"/>
        </w:rPr>
      </w:pPr>
      <w:r w:rsidRPr="00AB620A">
        <w:rPr>
          <w:rFonts w:ascii="Times New Roman" w:eastAsia="標楷體" w:hAnsi="Times New Roman" w:hint="eastAsia"/>
          <w:sz w:val="20"/>
        </w:rPr>
        <w:t>108.01.15</w:t>
      </w:r>
      <w:r w:rsidRPr="00AB620A">
        <w:rPr>
          <w:rFonts w:ascii="Times New Roman" w:eastAsia="標楷體" w:hAnsi="Times New Roman"/>
          <w:sz w:val="20"/>
        </w:rPr>
        <w:t>中山</w:t>
      </w:r>
      <w:bookmarkStart w:id="0" w:name="_GoBack"/>
      <w:bookmarkEnd w:id="0"/>
      <w:r w:rsidRPr="00AB620A">
        <w:rPr>
          <w:rFonts w:ascii="Times New Roman" w:eastAsia="標楷體" w:hAnsi="Times New Roman"/>
          <w:sz w:val="20"/>
        </w:rPr>
        <w:t>高</w:t>
      </w:r>
      <w:proofErr w:type="gramStart"/>
      <w:r w:rsidRPr="00AB620A">
        <w:rPr>
          <w:rFonts w:ascii="Times New Roman" w:eastAsia="標楷體" w:hAnsi="Times New Roman"/>
          <w:sz w:val="20"/>
        </w:rPr>
        <w:t>醫</w:t>
      </w:r>
      <w:proofErr w:type="gramEnd"/>
      <w:r w:rsidRPr="00AB620A">
        <w:rPr>
          <w:rFonts w:ascii="Times New Roman" w:eastAsia="標楷體" w:hAnsi="Times New Roman"/>
          <w:sz w:val="20"/>
        </w:rPr>
        <w:t>攻頂大學聯盟教務工作圈第</w:t>
      </w:r>
      <w:r w:rsidRPr="00AB620A">
        <w:rPr>
          <w:rFonts w:ascii="Times New Roman" w:eastAsia="標楷體" w:hAnsi="Times New Roman" w:hint="eastAsia"/>
          <w:sz w:val="20"/>
        </w:rPr>
        <w:t>11</w:t>
      </w:r>
      <w:r w:rsidRPr="00AB620A">
        <w:rPr>
          <w:rFonts w:ascii="Times New Roman" w:eastAsia="標楷體" w:hAnsi="Times New Roman"/>
          <w:sz w:val="20"/>
        </w:rPr>
        <w:t>次會議通過</w:t>
      </w:r>
    </w:p>
    <w:p w:rsidR="00A70335" w:rsidRPr="00AB620A" w:rsidRDefault="00A70335" w:rsidP="00AB620A">
      <w:pPr>
        <w:spacing w:line="240" w:lineRule="exact"/>
        <w:ind w:rightChars="-119" w:right="-286" w:firstLineChars="2410" w:firstLine="4820"/>
        <w:rPr>
          <w:rFonts w:ascii="Times New Roman" w:eastAsia="標楷體" w:hAnsi="Times New Roman"/>
          <w:sz w:val="20"/>
        </w:rPr>
      </w:pPr>
      <w:r w:rsidRPr="00AB620A">
        <w:rPr>
          <w:rFonts w:ascii="Times New Roman" w:eastAsia="標楷體" w:hAnsi="Times New Roman"/>
          <w:sz w:val="20"/>
        </w:rPr>
        <w:t>10</w:t>
      </w:r>
      <w:r w:rsidRPr="00AB620A">
        <w:rPr>
          <w:rFonts w:ascii="Times New Roman" w:eastAsia="標楷體" w:hAnsi="Times New Roman" w:hint="eastAsia"/>
          <w:sz w:val="20"/>
        </w:rPr>
        <w:t>8</w:t>
      </w:r>
      <w:r w:rsidRPr="00AB620A">
        <w:rPr>
          <w:rFonts w:ascii="Times New Roman" w:eastAsia="標楷體" w:hAnsi="Times New Roman"/>
          <w:sz w:val="20"/>
        </w:rPr>
        <w:t>.</w:t>
      </w:r>
      <w:r w:rsidRPr="00AB620A">
        <w:rPr>
          <w:rFonts w:ascii="Times New Roman" w:eastAsia="標楷體" w:hAnsi="Times New Roman" w:hint="eastAsia"/>
          <w:sz w:val="20"/>
        </w:rPr>
        <w:t>02</w:t>
      </w:r>
      <w:r w:rsidRPr="00AB620A">
        <w:rPr>
          <w:rFonts w:ascii="Times New Roman" w:eastAsia="標楷體" w:hAnsi="Times New Roman"/>
          <w:sz w:val="20"/>
        </w:rPr>
        <w:t>.</w:t>
      </w:r>
      <w:r w:rsidRPr="00AB620A">
        <w:rPr>
          <w:rFonts w:ascii="Times New Roman" w:eastAsia="標楷體" w:hAnsi="Times New Roman" w:hint="eastAsia"/>
          <w:sz w:val="20"/>
        </w:rPr>
        <w:t xml:space="preserve">13 </w:t>
      </w:r>
      <w:r w:rsidRPr="00AB620A">
        <w:rPr>
          <w:rFonts w:ascii="Times New Roman" w:eastAsia="標楷體" w:hAnsi="Times New Roman" w:hint="eastAsia"/>
          <w:sz w:val="20"/>
        </w:rPr>
        <w:t>高雄醫學大學</w:t>
      </w:r>
      <w:proofErr w:type="gramStart"/>
      <w:r w:rsidRPr="00AB620A">
        <w:rPr>
          <w:rFonts w:ascii="Times New Roman" w:eastAsia="標楷體" w:hAnsi="Times New Roman" w:hint="eastAsia"/>
          <w:sz w:val="20"/>
        </w:rPr>
        <w:t>一</w:t>
      </w:r>
      <w:proofErr w:type="gramEnd"/>
      <w:r w:rsidRPr="00AB620A">
        <w:rPr>
          <w:rFonts w:ascii="Times New Roman" w:eastAsia="標楷體" w:hAnsi="Times New Roman" w:hint="eastAsia"/>
          <w:sz w:val="20"/>
        </w:rPr>
        <w:t>O</w:t>
      </w:r>
      <w:r w:rsidRPr="00AB620A">
        <w:rPr>
          <w:rFonts w:ascii="Times New Roman" w:eastAsia="標楷體" w:hAnsi="Times New Roman" w:hint="eastAsia"/>
          <w:sz w:val="20"/>
        </w:rPr>
        <w:t>七</w:t>
      </w:r>
      <w:r w:rsidRPr="00AB620A">
        <w:rPr>
          <w:rFonts w:ascii="Times New Roman" w:eastAsia="標楷體" w:hAnsi="Times New Roman"/>
          <w:sz w:val="20"/>
        </w:rPr>
        <w:t>學年度第</w:t>
      </w:r>
      <w:r w:rsidRPr="00AB620A">
        <w:rPr>
          <w:rFonts w:ascii="Times New Roman" w:eastAsia="標楷體" w:hAnsi="Times New Roman" w:hint="eastAsia"/>
          <w:sz w:val="20"/>
        </w:rPr>
        <w:t>三</w:t>
      </w:r>
      <w:r w:rsidRPr="00AB620A">
        <w:rPr>
          <w:rFonts w:ascii="Times New Roman" w:eastAsia="標楷體" w:hAnsi="Times New Roman"/>
          <w:sz w:val="20"/>
        </w:rPr>
        <w:t>次教務會議通</w:t>
      </w:r>
    </w:p>
    <w:p w:rsidR="00B1489F" w:rsidRPr="00AB620A" w:rsidRDefault="00B1489F" w:rsidP="00AB620A">
      <w:pPr>
        <w:spacing w:line="240" w:lineRule="exact"/>
        <w:ind w:rightChars="-119" w:right="-286" w:firstLineChars="2410" w:firstLine="4820"/>
        <w:rPr>
          <w:rFonts w:ascii="Times New Roman" w:eastAsia="標楷體" w:hAnsi="Times New Roman"/>
          <w:sz w:val="20"/>
        </w:rPr>
      </w:pPr>
      <w:r w:rsidRPr="00AB620A">
        <w:rPr>
          <w:rFonts w:ascii="Times New Roman" w:eastAsia="標楷體" w:hAnsi="Times New Roman" w:hint="eastAsia"/>
          <w:sz w:val="20"/>
        </w:rPr>
        <w:t xml:space="preserve">108.03.20 </w:t>
      </w:r>
      <w:r w:rsidRPr="00AB620A">
        <w:rPr>
          <w:rFonts w:ascii="Times New Roman" w:eastAsia="標楷體" w:hAnsi="Times New Roman" w:hint="eastAsia"/>
          <w:sz w:val="20"/>
        </w:rPr>
        <w:t>高</w:t>
      </w:r>
      <w:proofErr w:type="gramStart"/>
      <w:r w:rsidRPr="00AB620A">
        <w:rPr>
          <w:rFonts w:ascii="Times New Roman" w:eastAsia="標楷體" w:hAnsi="Times New Roman" w:hint="eastAsia"/>
          <w:sz w:val="20"/>
        </w:rPr>
        <w:t>醫教字</w:t>
      </w:r>
      <w:proofErr w:type="gramEnd"/>
      <w:r w:rsidRPr="00AB620A">
        <w:rPr>
          <w:rFonts w:ascii="Times New Roman" w:eastAsia="標楷體" w:hAnsi="Times New Roman" w:hint="eastAsia"/>
          <w:sz w:val="20"/>
        </w:rPr>
        <w:t>第</w:t>
      </w:r>
      <w:r w:rsidRPr="00AB620A">
        <w:rPr>
          <w:rFonts w:ascii="Times New Roman" w:eastAsia="標楷體" w:hAnsi="Times New Roman" w:hint="eastAsia"/>
          <w:sz w:val="20"/>
        </w:rPr>
        <w:t>1081100958</w:t>
      </w:r>
      <w:r w:rsidRPr="00AB620A">
        <w:rPr>
          <w:rFonts w:ascii="Times New Roman" w:eastAsia="標楷體" w:hAnsi="Times New Roman" w:hint="eastAsia"/>
          <w:sz w:val="20"/>
        </w:rPr>
        <w:t>號函公布</w:t>
      </w:r>
    </w:p>
    <w:p w:rsidR="00A70335" w:rsidRPr="00F01BE6" w:rsidRDefault="00A70335" w:rsidP="00A70335">
      <w:pPr>
        <w:spacing w:line="240" w:lineRule="exact"/>
        <w:ind w:rightChars="-119" w:right="-286" w:firstLineChars="2598" w:firstLine="4676"/>
        <w:rPr>
          <w:rFonts w:ascii="Times New Roman" w:eastAsia="標楷體" w:hAnsi="Times New Roman"/>
          <w:sz w:val="18"/>
        </w:rPr>
      </w:pPr>
    </w:p>
    <w:tbl>
      <w:tblPr>
        <w:tblW w:w="9956" w:type="dxa"/>
        <w:tblInd w:w="250" w:type="dxa"/>
        <w:tblLook w:val="04A0" w:firstRow="1" w:lastRow="0" w:firstColumn="1" w:lastColumn="0" w:noHBand="0" w:noVBand="1"/>
      </w:tblPr>
      <w:tblGrid>
        <w:gridCol w:w="1276"/>
        <w:gridCol w:w="8680"/>
      </w:tblGrid>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1</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為增廣國立中山大學及高雄醫學大學（以下簡稱兩校）學生之學習領域，共享教學資源，並促進校際間之合作，特訂定本辦法。</w:t>
            </w:r>
          </w:p>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本辦法所稱跨校輔系指兩校學士班學生加修他校性質不同學系為輔系。</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2</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辦理跨校輔系應先簽訂跨校輔系協議。</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3</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學生申請跨校輔系，須經雙方學校相關學系主管同意，並經雙方學校校內相關程序審查通過。</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4</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學生選修跨校輔系課程及學分費事宜，依合作學校跨校輔系協議辦理，相關規定另訂之。</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5</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修讀跨校輔系學生，除應修滿主學系應修科目學分外，並應加修輔系課程達到輔系應修學分總數。</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6</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學生修讀跨校輔系，經該輔系學校審核已滿足應修學分數者，</w:t>
            </w:r>
            <w:r w:rsidRPr="00B1489F">
              <w:rPr>
                <w:rFonts w:ascii="Times New Roman" w:eastAsia="標楷體" w:hAnsi="Times New Roman"/>
                <w:color w:val="000000"/>
                <w:u w:val="single"/>
              </w:rPr>
              <w:t>其加修輔系之成績與</w:t>
            </w:r>
            <w:r w:rsidRPr="00B1489F">
              <w:rPr>
                <w:rFonts w:ascii="Times New Roman" w:eastAsia="標楷體" w:hAnsi="Times New Roman"/>
                <w:color w:val="000000"/>
                <w:u w:val="single"/>
              </w:rPr>
              <w:t xml:space="preserve"> </w:t>
            </w:r>
            <w:r w:rsidRPr="00B1489F">
              <w:rPr>
                <w:rFonts w:ascii="Times New Roman" w:eastAsia="標楷體" w:hAnsi="Times New Roman"/>
                <w:color w:val="000000"/>
                <w:u w:val="single"/>
              </w:rPr>
              <w:t>證明，由原學校核發。</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7</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本辦法未盡事宜悉依學生所在學校之學則及學生修讀輔系相關辦法辦理。</w:t>
            </w:r>
          </w:p>
        </w:tc>
      </w:tr>
      <w:tr w:rsidR="00A70335" w:rsidRPr="00B1489F" w:rsidTr="00C822B4">
        <w:tc>
          <w:tcPr>
            <w:tcW w:w="1276"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8</w:t>
            </w:r>
            <w:r w:rsidRPr="00B1489F">
              <w:rPr>
                <w:rFonts w:ascii="Times New Roman" w:eastAsia="標楷體" w:hAnsi="Times New Roman"/>
                <w:color w:val="000000"/>
              </w:rPr>
              <w:t>條</w:t>
            </w:r>
          </w:p>
        </w:tc>
        <w:tc>
          <w:tcPr>
            <w:tcW w:w="8680" w:type="dxa"/>
          </w:tcPr>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本辦法</w:t>
            </w:r>
            <w:r w:rsidRPr="00B1489F">
              <w:rPr>
                <w:rFonts w:ascii="Times New Roman" w:eastAsia="標楷體" w:hAnsi="Times New Roman"/>
                <w:color w:val="000000"/>
                <w:kern w:val="0"/>
              </w:rPr>
              <w:t>經「中山高醫攻頂大學聯盟」教務工作圈會議審議，提送兩校教務會議審議通過後公布實施，並報請教育部備查，修正時亦同。</w:t>
            </w:r>
          </w:p>
        </w:tc>
      </w:tr>
    </w:tbl>
    <w:p w:rsidR="00A70335" w:rsidRPr="006E5A8C" w:rsidRDefault="00A70335" w:rsidP="00A70335">
      <w:pPr>
        <w:snapToGrid w:val="0"/>
        <w:rPr>
          <w:rFonts w:ascii="Times New Roman" w:hAnsi="Times New Roman"/>
          <w:color w:val="000000"/>
        </w:rPr>
      </w:pPr>
    </w:p>
    <w:p w:rsidR="00A70335" w:rsidRDefault="00A70335">
      <w:r>
        <w:br w:type="page"/>
      </w:r>
    </w:p>
    <w:p w:rsidR="00A70335" w:rsidRDefault="00A70335" w:rsidP="00A70335">
      <w:pPr>
        <w:pStyle w:val="a3"/>
        <w:spacing w:beforeLines="50" w:before="180" w:line="440" w:lineRule="exact"/>
        <w:ind w:leftChars="0" w:left="0"/>
      </w:pPr>
      <w:r w:rsidRPr="00F928E4">
        <w:rPr>
          <w:rFonts w:ascii="標楷體" w:eastAsia="標楷體" w:cs="標楷體" w:hint="eastAsia"/>
          <w:b/>
          <w:noProof/>
          <w:sz w:val="32"/>
          <w:szCs w:val="28"/>
        </w:rPr>
        <w:lastRenderedPageBreak/>
        <w:t>國立</w:t>
      </w:r>
      <w:proofErr w:type="spellStart"/>
      <w:r w:rsidRPr="00F928E4">
        <w:rPr>
          <w:rFonts w:ascii="標楷體" w:eastAsia="標楷體" w:hAnsi="標楷體" w:hint="eastAsia"/>
          <w:b/>
          <w:sz w:val="32"/>
          <w:szCs w:val="28"/>
        </w:rPr>
        <w:t>中山大學及高雄醫學大學辦理跨校輔系辦法</w:t>
      </w:r>
      <w:r w:rsidRPr="00E74068">
        <w:rPr>
          <w:rFonts w:ascii="標楷體" w:eastAsia="標楷體" w:hAnsi="標楷體" w:hint="eastAsia"/>
          <w:b/>
          <w:color w:val="000000"/>
          <w:sz w:val="32"/>
          <w:szCs w:val="32"/>
        </w:rPr>
        <w:t>（修正條文對照表</w:t>
      </w:r>
      <w:proofErr w:type="spellEnd"/>
      <w:r w:rsidRPr="00E74068">
        <w:rPr>
          <w:rFonts w:ascii="標楷體" w:eastAsia="標楷體" w:hAnsi="標楷體" w:hint="eastAsia"/>
          <w:b/>
          <w:color w:val="000000"/>
          <w:sz w:val="32"/>
          <w:szCs w:val="32"/>
        </w:rPr>
        <w:t>）</w:t>
      </w:r>
    </w:p>
    <w:p w:rsidR="001A0EDB" w:rsidRDefault="001A0EDB" w:rsidP="00A70335">
      <w:pPr>
        <w:spacing w:line="240" w:lineRule="exact"/>
        <w:ind w:firstLineChars="2268" w:firstLine="4536"/>
        <w:rPr>
          <w:rFonts w:ascii="Times New Roman" w:eastAsia="標楷體" w:hAnsi="Times New Roman"/>
          <w:sz w:val="20"/>
        </w:rPr>
      </w:pPr>
    </w:p>
    <w:p w:rsidR="00A70335" w:rsidRPr="00511174" w:rsidRDefault="00A70335" w:rsidP="00A70335">
      <w:pPr>
        <w:spacing w:line="240" w:lineRule="exact"/>
        <w:ind w:firstLineChars="2268" w:firstLine="4536"/>
        <w:rPr>
          <w:rFonts w:ascii="Times New Roman" w:eastAsia="標楷體" w:hAnsi="Times New Roman"/>
          <w:sz w:val="20"/>
        </w:rPr>
      </w:pPr>
      <w:r w:rsidRPr="00511174">
        <w:rPr>
          <w:rFonts w:ascii="Times New Roman" w:eastAsia="標楷體" w:hAnsi="Times New Roman"/>
          <w:sz w:val="20"/>
        </w:rPr>
        <w:t>101.12.27</w:t>
      </w:r>
      <w:r w:rsidRPr="00511174">
        <w:rPr>
          <w:rFonts w:ascii="Times New Roman" w:eastAsia="標楷體" w:hAnsi="Times New Roman"/>
          <w:sz w:val="20"/>
        </w:rPr>
        <w:t>中山高醫攻頂大學聯盟教務工作圈第</w:t>
      </w:r>
      <w:r w:rsidRPr="00511174">
        <w:rPr>
          <w:rFonts w:ascii="Times New Roman" w:eastAsia="標楷體" w:hAnsi="Times New Roman"/>
          <w:sz w:val="20"/>
        </w:rPr>
        <w:t>2</w:t>
      </w:r>
      <w:r w:rsidRPr="00511174">
        <w:rPr>
          <w:rFonts w:ascii="Times New Roman" w:eastAsia="標楷體" w:hAnsi="Times New Roman"/>
          <w:sz w:val="20"/>
        </w:rPr>
        <w:t>次會議通過</w:t>
      </w:r>
    </w:p>
    <w:p w:rsidR="00A70335" w:rsidRDefault="00A70335" w:rsidP="00A70335">
      <w:pPr>
        <w:spacing w:line="240" w:lineRule="exact"/>
        <w:ind w:firstLineChars="2268" w:firstLine="4536"/>
        <w:rPr>
          <w:rFonts w:ascii="Times New Roman" w:eastAsia="標楷體"/>
          <w:sz w:val="20"/>
        </w:rPr>
      </w:pPr>
      <w:r w:rsidRPr="00511174">
        <w:rPr>
          <w:rFonts w:ascii="Times New Roman" w:eastAsia="標楷體" w:hAnsi="Times New Roman"/>
          <w:sz w:val="20"/>
        </w:rPr>
        <w:t>102.01.24</w:t>
      </w:r>
      <w:proofErr w:type="gramStart"/>
      <w:r w:rsidRPr="00511174">
        <w:rPr>
          <w:rFonts w:ascii="Times New Roman" w:eastAsia="標楷體"/>
          <w:sz w:val="20"/>
        </w:rPr>
        <w:t>一</w:t>
      </w:r>
      <w:proofErr w:type="gramEnd"/>
      <w:r w:rsidRPr="00511174">
        <w:rPr>
          <w:rFonts w:ascii="Times New Roman" w:eastAsia="標楷體" w:hAnsi="Times New Roman"/>
          <w:sz w:val="20"/>
        </w:rPr>
        <w:t>O</w:t>
      </w:r>
      <w:r w:rsidRPr="00511174">
        <w:rPr>
          <w:rFonts w:ascii="Times New Roman" w:eastAsia="標楷體"/>
          <w:sz w:val="20"/>
        </w:rPr>
        <w:t>一學年度第三次教務會議通過</w:t>
      </w:r>
    </w:p>
    <w:p w:rsidR="00A70335" w:rsidRPr="00673D24" w:rsidRDefault="00A70335" w:rsidP="00A70335">
      <w:pPr>
        <w:spacing w:line="240" w:lineRule="exact"/>
        <w:ind w:rightChars="-119" w:right="-286" w:firstLineChars="2268" w:firstLine="4536"/>
        <w:rPr>
          <w:rFonts w:ascii="Times New Roman" w:eastAsia="標楷體" w:hAnsi="Times New Roman"/>
          <w:sz w:val="20"/>
        </w:rPr>
      </w:pPr>
      <w:r w:rsidRPr="00673D24">
        <w:rPr>
          <w:rFonts w:ascii="Times New Roman" w:eastAsia="標楷體" w:hAnsi="Times New Roman" w:hint="eastAsia"/>
          <w:sz w:val="20"/>
        </w:rPr>
        <w:t>10</w:t>
      </w:r>
      <w:r>
        <w:rPr>
          <w:rFonts w:ascii="Times New Roman" w:eastAsia="標楷體" w:hAnsi="Times New Roman" w:hint="eastAsia"/>
          <w:sz w:val="20"/>
        </w:rPr>
        <w:t>2.06.2</w:t>
      </w:r>
      <w:r w:rsidRPr="00673D24">
        <w:rPr>
          <w:rFonts w:ascii="Times New Roman" w:eastAsia="標楷體" w:hAnsi="Times New Roman" w:hint="eastAsia"/>
          <w:sz w:val="20"/>
        </w:rPr>
        <w:t>5</w:t>
      </w:r>
      <w:r w:rsidRPr="00673D24">
        <w:rPr>
          <w:rFonts w:ascii="Times New Roman" w:eastAsia="標楷體" w:hAnsi="Times New Roman" w:hint="eastAsia"/>
          <w:sz w:val="20"/>
        </w:rPr>
        <w:t>教育部</w:t>
      </w:r>
      <w:proofErr w:type="gramStart"/>
      <w:r w:rsidRPr="00673D24">
        <w:rPr>
          <w:rFonts w:ascii="Times New Roman" w:eastAsia="標楷體" w:hAnsi="Times New Roman" w:hint="eastAsia"/>
          <w:sz w:val="20"/>
        </w:rPr>
        <w:t>臺</w:t>
      </w:r>
      <w:proofErr w:type="gramEnd"/>
      <w:r w:rsidRPr="00673D24">
        <w:rPr>
          <w:rFonts w:ascii="Times New Roman" w:eastAsia="標楷體" w:hAnsi="Times New Roman" w:hint="eastAsia"/>
          <w:sz w:val="20"/>
        </w:rPr>
        <w:t>高</w:t>
      </w:r>
      <w:r w:rsidRPr="00673D24">
        <w:rPr>
          <w:rFonts w:ascii="Times New Roman" w:eastAsia="標楷體" w:hAnsi="Times New Roman" w:hint="eastAsia"/>
          <w:sz w:val="20"/>
        </w:rPr>
        <w:t>(</w:t>
      </w:r>
      <w:r w:rsidRPr="00673D24">
        <w:rPr>
          <w:rFonts w:ascii="Times New Roman" w:eastAsia="標楷體" w:hAnsi="Times New Roman" w:hint="eastAsia"/>
          <w:sz w:val="20"/>
        </w:rPr>
        <w:t>二</w:t>
      </w:r>
      <w:r w:rsidRPr="00673D24">
        <w:rPr>
          <w:rFonts w:ascii="Times New Roman" w:eastAsia="標楷體" w:hAnsi="Times New Roman" w:hint="eastAsia"/>
          <w:sz w:val="20"/>
        </w:rPr>
        <w:t>)</w:t>
      </w:r>
      <w:r w:rsidRPr="00673D24">
        <w:rPr>
          <w:rFonts w:ascii="Times New Roman" w:eastAsia="標楷體" w:hAnsi="Times New Roman" w:hint="eastAsia"/>
          <w:sz w:val="20"/>
        </w:rPr>
        <w:t>字第</w:t>
      </w:r>
      <w:r>
        <w:rPr>
          <w:rFonts w:ascii="Times New Roman" w:eastAsia="標楷體" w:hAnsi="Times New Roman" w:hint="eastAsia"/>
          <w:sz w:val="20"/>
        </w:rPr>
        <w:t>1020095977</w:t>
      </w:r>
      <w:r w:rsidRPr="00673D24">
        <w:rPr>
          <w:rFonts w:ascii="Times New Roman" w:eastAsia="標楷體" w:hAnsi="Times New Roman" w:hint="eastAsia"/>
          <w:sz w:val="20"/>
        </w:rPr>
        <w:t>號函備查第</w:t>
      </w:r>
      <w:r>
        <w:rPr>
          <w:rFonts w:ascii="Times New Roman" w:eastAsia="標楷體" w:hAnsi="Times New Roman" w:hint="eastAsia"/>
          <w:sz w:val="20"/>
        </w:rPr>
        <w:t>1</w:t>
      </w:r>
      <w:r>
        <w:rPr>
          <w:rFonts w:ascii="Times New Roman" w:eastAsia="標楷體" w:hAnsi="Times New Roman" w:hint="eastAsia"/>
          <w:sz w:val="20"/>
        </w:rPr>
        <w:t>至</w:t>
      </w:r>
      <w:r w:rsidRPr="00673D24">
        <w:rPr>
          <w:rFonts w:ascii="Times New Roman" w:eastAsia="標楷體" w:hAnsi="Times New Roman" w:hint="eastAsia"/>
          <w:sz w:val="20"/>
        </w:rPr>
        <w:t>8</w:t>
      </w:r>
      <w:r w:rsidRPr="00673D24">
        <w:rPr>
          <w:rFonts w:ascii="Times New Roman" w:eastAsia="標楷體" w:hAnsi="Times New Roman" w:hint="eastAsia"/>
          <w:sz w:val="20"/>
        </w:rPr>
        <w:t>條</w:t>
      </w:r>
    </w:p>
    <w:p w:rsidR="00A70335" w:rsidRDefault="00A70335" w:rsidP="00A70335">
      <w:pPr>
        <w:spacing w:line="240" w:lineRule="exact"/>
        <w:ind w:leftChars="1890" w:left="4536"/>
        <w:rPr>
          <w:rFonts w:ascii="Times New Roman" w:eastAsia="標楷體" w:hAnsi="Times New Roman"/>
          <w:sz w:val="20"/>
        </w:rPr>
      </w:pPr>
      <w:r w:rsidRPr="00673D24">
        <w:rPr>
          <w:rFonts w:ascii="Times New Roman" w:eastAsia="標楷體" w:hAnsi="Times New Roman" w:hint="eastAsia"/>
          <w:sz w:val="20"/>
        </w:rPr>
        <w:t>10</w:t>
      </w:r>
      <w:r>
        <w:rPr>
          <w:rFonts w:ascii="Times New Roman" w:eastAsia="標楷體" w:hAnsi="Times New Roman" w:hint="eastAsia"/>
          <w:sz w:val="20"/>
        </w:rPr>
        <w:t>2.08.19</w:t>
      </w:r>
      <w:r w:rsidRPr="00673D24">
        <w:rPr>
          <w:rFonts w:ascii="Times New Roman" w:eastAsia="標楷體" w:hAnsi="Times New Roman"/>
          <w:sz w:val="20"/>
        </w:rPr>
        <w:t>高</w:t>
      </w:r>
      <w:proofErr w:type="gramStart"/>
      <w:r w:rsidRPr="00673D24">
        <w:rPr>
          <w:rFonts w:ascii="Times New Roman" w:eastAsia="標楷體" w:hAnsi="Times New Roman"/>
          <w:sz w:val="20"/>
        </w:rPr>
        <w:t>醫教字</w:t>
      </w:r>
      <w:proofErr w:type="gramEnd"/>
      <w:r w:rsidRPr="00673D24">
        <w:rPr>
          <w:rFonts w:ascii="Times New Roman" w:eastAsia="標楷體" w:hAnsi="Times New Roman"/>
          <w:sz w:val="20"/>
        </w:rPr>
        <w:t>第</w:t>
      </w:r>
      <w:r w:rsidRPr="009C23B0">
        <w:rPr>
          <w:rFonts w:ascii="Times New Roman" w:eastAsia="標楷體" w:hAnsi="Times New Roman"/>
          <w:sz w:val="20"/>
        </w:rPr>
        <w:t>1021102482</w:t>
      </w:r>
      <w:r w:rsidRPr="00673D24">
        <w:rPr>
          <w:rFonts w:ascii="Times New Roman" w:eastAsia="標楷體" w:hAnsi="Times New Roman"/>
          <w:sz w:val="20"/>
        </w:rPr>
        <w:t>號函公布</w:t>
      </w:r>
    </w:p>
    <w:p w:rsidR="00A70335" w:rsidRDefault="00A70335" w:rsidP="00A70335">
      <w:pPr>
        <w:spacing w:line="240" w:lineRule="exact"/>
        <w:ind w:rightChars="-119" w:right="-286" w:firstLineChars="2268" w:firstLine="4536"/>
        <w:rPr>
          <w:rFonts w:ascii="Times New Roman" w:eastAsia="標楷體" w:hAnsi="Times New Roman"/>
          <w:sz w:val="20"/>
        </w:rPr>
      </w:pPr>
      <w:r>
        <w:rPr>
          <w:rFonts w:ascii="Times New Roman" w:eastAsia="標楷體" w:hAnsi="Times New Roman" w:hint="eastAsia"/>
          <w:sz w:val="20"/>
        </w:rPr>
        <w:t>108.01.15</w:t>
      </w:r>
      <w:r w:rsidRPr="00511174">
        <w:rPr>
          <w:rFonts w:ascii="Times New Roman" w:eastAsia="標楷體" w:hAnsi="Times New Roman"/>
          <w:sz w:val="20"/>
        </w:rPr>
        <w:t>中山高</w:t>
      </w:r>
      <w:proofErr w:type="gramStart"/>
      <w:r w:rsidRPr="00511174">
        <w:rPr>
          <w:rFonts w:ascii="Times New Roman" w:eastAsia="標楷體" w:hAnsi="Times New Roman"/>
          <w:sz w:val="20"/>
        </w:rPr>
        <w:t>醫</w:t>
      </w:r>
      <w:proofErr w:type="gramEnd"/>
      <w:r w:rsidRPr="00511174">
        <w:rPr>
          <w:rFonts w:ascii="Times New Roman" w:eastAsia="標楷體" w:hAnsi="Times New Roman"/>
          <w:sz w:val="20"/>
        </w:rPr>
        <w:t>攻頂大學聯盟教務工作圈第</w:t>
      </w:r>
      <w:r>
        <w:rPr>
          <w:rFonts w:ascii="Times New Roman" w:eastAsia="標楷體" w:hAnsi="Times New Roman" w:hint="eastAsia"/>
          <w:sz w:val="20"/>
        </w:rPr>
        <w:t>11</w:t>
      </w:r>
      <w:r w:rsidRPr="00511174">
        <w:rPr>
          <w:rFonts w:ascii="Times New Roman" w:eastAsia="標楷體" w:hAnsi="Times New Roman"/>
          <w:sz w:val="20"/>
        </w:rPr>
        <w:t>次會議通過</w:t>
      </w:r>
    </w:p>
    <w:p w:rsidR="00A70335" w:rsidRDefault="00A70335" w:rsidP="00A70335">
      <w:pPr>
        <w:spacing w:line="240" w:lineRule="exact"/>
        <w:ind w:rightChars="-119" w:right="-286" w:firstLineChars="2268" w:firstLine="4536"/>
        <w:rPr>
          <w:rFonts w:ascii="Times New Roman" w:eastAsia="標楷體" w:hAnsi="Times New Roman"/>
          <w:sz w:val="20"/>
        </w:rPr>
      </w:pPr>
      <w:r w:rsidRPr="00D013A8">
        <w:rPr>
          <w:rFonts w:ascii="Times New Roman" w:eastAsia="標楷體" w:hAnsi="Times New Roman"/>
          <w:sz w:val="20"/>
        </w:rPr>
        <w:t>10</w:t>
      </w:r>
      <w:r>
        <w:rPr>
          <w:rFonts w:ascii="Times New Roman" w:eastAsia="標楷體" w:hAnsi="Times New Roman" w:hint="eastAsia"/>
          <w:sz w:val="20"/>
        </w:rPr>
        <w:t>8</w:t>
      </w:r>
      <w:r w:rsidRPr="00D013A8">
        <w:rPr>
          <w:rFonts w:ascii="Times New Roman" w:eastAsia="標楷體" w:hAnsi="Times New Roman"/>
          <w:sz w:val="20"/>
        </w:rPr>
        <w:t>.</w:t>
      </w:r>
      <w:r>
        <w:rPr>
          <w:rFonts w:ascii="Times New Roman" w:eastAsia="標楷體" w:hAnsi="Times New Roman" w:hint="eastAsia"/>
          <w:sz w:val="20"/>
        </w:rPr>
        <w:t>02</w:t>
      </w:r>
      <w:r>
        <w:rPr>
          <w:rFonts w:ascii="Times New Roman" w:eastAsia="標楷體" w:hAnsi="Times New Roman"/>
          <w:sz w:val="20"/>
        </w:rPr>
        <w:t>.</w:t>
      </w:r>
      <w:r w:rsidRPr="00D013A8">
        <w:rPr>
          <w:rFonts w:ascii="Times New Roman" w:eastAsia="標楷體" w:hAnsi="Times New Roman" w:hint="eastAsia"/>
          <w:sz w:val="20"/>
        </w:rPr>
        <w:t>1</w:t>
      </w:r>
      <w:r>
        <w:rPr>
          <w:rFonts w:ascii="Times New Roman" w:eastAsia="標楷體" w:hAnsi="Times New Roman" w:hint="eastAsia"/>
          <w:sz w:val="20"/>
        </w:rPr>
        <w:t>3</w:t>
      </w:r>
      <w:r w:rsidRPr="00D013A8">
        <w:rPr>
          <w:rFonts w:ascii="Times New Roman" w:eastAsia="標楷體" w:hAnsi="Times New Roman" w:hint="eastAsia"/>
          <w:sz w:val="20"/>
        </w:rPr>
        <w:t xml:space="preserve"> </w:t>
      </w:r>
      <w:r w:rsidRPr="00D013A8">
        <w:rPr>
          <w:rFonts w:ascii="Times New Roman" w:eastAsia="標楷體" w:hAnsi="Times New Roman" w:hint="eastAsia"/>
          <w:sz w:val="20"/>
        </w:rPr>
        <w:t>高雄醫學大學</w:t>
      </w:r>
      <w:proofErr w:type="gramStart"/>
      <w:r w:rsidRPr="00D013A8">
        <w:rPr>
          <w:rFonts w:ascii="Times New Roman" w:eastAsia="標楷體" w:hAnsi="Times New Roman" w:hint="eastAsia"/>
          <w:sz w:val="20"/>
        </w:rPr>
        <w:t>一</w:t>
      </w:r>
      <w:proofErr w:type="gramEnd"/>
      <w:r w:rsidRPr="00D013A8">
        <w:rPr>
          <w:rFonts w:ascii="Times New Roman" w:eastAsia="標楷體" w:hAnsi="Times New Roman" w:hint="eastAsia"/>
          <w:sz w:val="20"/>
        </w:rPr>
        <w:t>O</w:t>
      </w:r>
      <w:r>
        <w:rPr>
          <w:rFonts w:ascii="Times New Roman" w:eastAsia="標楷體" w:hAnsi="Times New Roman" w:hint="eastAsia"/>
          <w:sz w:val="20"/>
        </w:rPr>
        <w:t>七</w:t>
      </w:r>
      <w:r w:rsidRPr="00D013A8">
        <w:rPr>
          <w:rFonts w:ascii="Times New Roman" w:eastAsia="標楷體" w:hAnsi="Times New Roman"/>
          <w:sz w:val="20"/>
        </w:rPr>
        <w:t>學年度第</w:t>
      </w:r>
      <w:r>
        <w:rPr>
          <w:rFonts w:ascii="Times New Roman" w:eastAsia="標楷體" w:hAnsi="Times New Roman" w:hint="eastAsia"/>
          <w:sz w:val="20"/>
        </w:rPr>
        <w:t>三</w:t>
      </w:r>
      <w:r w:rsidRPr="00D013A8">
        <w:rPr>
          <w:rFonts w:ascii="Times New Roman" w:eastAsia="標楷體" w:hAnsi="Times New Roman"/>
          <w:sz w:val="20"/>
        </w:rPr>
        <w:t>次教務會議</w:t>
      </w:r>
      <w:r w:rsidRPr="00511174">
        <w:rPr>
          <w:rFonts w:ascii="Times New Roman" w:eastAsia="標楷體" w:hAnsi="Times New Roman"/>
          <w:sz w:val="20"/>
        </w:rPr>
        <w:t>通</w:t>
      </w:r>
      <w:r w:rsidR="00B1489F" w:rsidRPr="00511174">
        <w:rPr>
          <w:rFonts w:ascii="Times New Roman" w:eastAsia="標楷體" w:hAnsi="Times New Roman"/>
          <w:sz w:val="20"/>
        </w:rPr>
        <w:t>過</w:t>
      </w:r>
    </w:p>
    <w:p w:rsidR="00B1489F" w:rsidRPr="00D013A8" w:rsidRDefault="00B1489F" w:rsidP="00C822B4">
      <w:pPr>
        <w:spacing w:afterLines="50" w:after="180" w:line="240" w:lineRule="exact"/>
        <w:ind w:rightChars="-119" w:right="-286" w:firstLineChars="2268" w:firstLine="4536"/>
        <w:rPr>
          <w:rFonts w:ascii="Times New Roman" w:eastAsia="標楷體" w:hAnsi="Times New Roman" w:hint="eastAsia"/>
          <w:sz w:val="20"/>
        </w:rPr>
      </w:pPr>
      <w:r w:rsidRPr="00B1489F">
        <w:rPr>
          <w:rFonts w:ascii="Times New Roman" w:eastAsia="標楷體" w:hAnsi="Times New Roman" w:hint="eastAsia"/>
          <w:sz w:val="20"/>
        </w:rPr>
        <w:t xml:space="preserve">108.03.20 </w:t>
      </w:r>
      <w:r w:rsidRPr="00B1489F">
        <w:rPr>
          <w:rFonts w:ascii="Times New Roman" w:eastAsia="標楷體" w:hAnsi="Times New Roman" w:hint="eastAsia"/>
          <w:sz w:val="20"/>
        </w:rPr>
        <w:t>高</w:t>
      </w:r>
      <w:proofErr w:type="gramStart"/>
      <w:r w:rsidRPr="00B1489F">
        <w:rPr>
          <w:rFonts w:ascii="Times New Roman" w:eastAsia="標楷體" w:hAnsi="Times New Roman" w:hint="eastAsia"/>
          <w:sz w:val="20"/>
        </w:rPr>
        <w:t>醫教字</w:t>
      </w:r>
      <w:proofErr w:type="gramEnd"/>
      <w:r w:rsidRPr="00B1489F">
        <w:rPr>
          <w:rFonts w:ascii="Times New Roman" w:eastAsia="標楷體" w:hAnsi="Times New Roman" w:hint="eastAsia"/>
          <w:sz w:val="20"/>
        </w:rPr>
        <w:t>第</w:t>
      </w:r>
      <w:r w:rsidRPr="00B1489F">
        <w:rPr>
          <w:rFonts w:ascii="Times New Roman" w:eastAsia="標楷體" w:hAnsi="Times New Roman" w:hint="eastAsia"/>
          <w:sz w:val="20"/>
        </w:rPr>
        <w:t>1081100958</w:t>
      </w:r>
      <w:r w:rsidRPr="00B1489F">
        <w:rPr>
          <w:rFonts w:ascii="Times New Roman" w:eastAsia="標楷體" w:hAnsi="Times New Roman" w:hint="eastAsia"/>
          <w:sz w:val="20"/>
        </w:rPr>
        <w:t>號函公布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4455"/>
        <w:gridCol w:w="1552"/>
      </w:tblGrid>
      <w:tr w:rsidR="00A70335" w:rsidRPr="00B1489F" w:rsidTr="00C822B4">
        <w:trPr>
          <w:trHeight w:val="397"/>
          <w:tblHeader/>
        </w:trPr>
        <w:tc>
          <w:tcPr>
            <w:tcW w:w="4187" w:type="dxa"/>
            <w:shd w:val="clear" w:color="auto" w:fill="auto"/>
          </w:tcPr>
          <w:p w:rsidR="00A70335" w:rsidRPr="00B1489F" w:rsidRDefault="00A70335" w:rsidP="00AF4E97">
            <w:pPr>
              <w:spacing w:line="340" w:lineRule="exact"/>
              <w:ind w:left="10" w:right="24" w:hanging="10"/>
              <w:jc w:val="center"/>
              <w:rPr>
                <w:rFonts w:ascii="Times New Roman" w:eastAsia="標楷體" w:hAnsi="Times New Roman"/>
                <w:color w:val="000000"/>
              </w:rPr>
            </w:pPr>
            <w:r w:rsidRPr="00B1489F">
              <w:rPr>
                <w:rFonts w:ascii="Times New Roman" w:eastAsia="標楷體" w:hAnsi="Times New Roman"/>
                <w:color w:val="000000"/>
              </w:rPr>
              <w:t>修　　正　　條　　文</w:t>
            </w:r>
          </w:p>
        </w:tc>
        <w:tc>
          <w:tcPr>
            <w:tcW w:w="4455" w:type="dxa"/>
            <w:shd w:val="clear" w:color="auto" w:fill="auto"/>
          </w:tcPr>
          <w:p w:rsidR="00A70335" w:rsidRPr="00B1489F" w:rsidRDefault="00A70335" w:rsidP="00AF4E97">
            <w:pPr>
              <w:spacing w:line="340" w:lineRule="exact"/>
              <w:ind w:left="10" w:right="24" w:hanging="10"/>
              <w:jc w:val="center"/>
              <w:rPr>
                <w:rFonts w:ascii="Times New Roman" w:eastAsia="標楷體" w:hAnsi="Times New Roman"/>
                <w:color w:val="000000"/>
              </w:rPr>
            </w:pPr>
            <w:r w:rsidRPr="00B1489F">
              <w:rPr>
                <w:rFonts w:ascii="Times New Roman" w:eastAsia="標楷體" w:hAnsi="Times New Roman"/>
                <w:color w:val="000000"/>
              </w:rPr>
              <w:t>現　　行　　條　　文</w:t>
            </w:r>
          </w:p>
        </w:tc>
        <w:tc>
          <w:tcPr>
            <w:tcW w:w="1552" w:type="dxa"/>
            <w:shd w:val="clear" w:color="auto" w:fill="auto"/>
          </w:tcPr>
          <w:p w:rsidR="00A70335" w:rsidRPr="00B1489F" w:rsidRDefault="00A70335" w:rsidP="00AF4E97">
            <w:pPr>
              <w:spacing w:line="340" w:lineRule="exact"/>
              <w:ind w:left="10" w:right="24" w:hanging="10"/>
              <w:jc w:val="center"/>
              <w:rPr>
                <w:rFonts w:ascii="Times New Roman" w:eastAsia="標楷體" w:hAnsi="Times New Roman"/>
                <w:color w:val="000000"/>
              </w:rPr>
            </w:pPr>
            <w:r w:rsidRPr="00B1489F">
              <w:rPr>
                <w:rFonts w:ascii="Times New Roman" w:eastAsia="標楷體" w:hAnsi="Times New Roman"/>
                <w:color w:val="000000"/>
              </w:rPr>
              <w:t>說　　明</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1</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一</w:t>
            </w:r>
            <w:r w:rsidRPr="00B1489F">
              <w:rPr>
                <w:rFonts w:ascii="Times New Roman" w:eastAsia="標楷體" w:hAnsi="Times New Roman"/>
                <w:color w:val="000000"/>
              </w:rPr>
              <w:t>條</w:t>
            </w:r>
          </w:p>
          <w:p w:rsidR="00A70335" w:rsidRPr="00B1489F" w:rsidRDefault="00A70335" w:rsidP="00AF4E97">
            <w:pPr>
              <w:spacing w:line="440" w:lineRule="exact"/>
              <w:rPr>
                <w:rFonts w:ascii="Times New Roman" w:eastAsia="標楷體" w:hAnsi="Times New Roman"/>
                <w:color w:val="000000"/>
              </w:rPr>
            </w:pPr>
            <w:r w:rsidRPr="00B1489F">
              <w:rPr>
                <w:rFonts w:ascii="Times New Roman" w:eastAsia="標楷體" w:hAnsi="Times New Roman"/>
                <w:color w:val="000000"/>
              </w:rPr>
              <w:t>為增廣國立中山大學及高雄醫學大學（以下簡稱兩校）學生之學習領域，共享教學資源，並促進校際間之合作，特訂定本辦法。</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本辦法所</w:t>
            </w:r>
            <w:proofErr w:type="gramStart"/>
            <w:r w:rsidRPr="00B1489F">
              <w:rPr>
                <w:rFonts w:ascii="Times New Roman" w:eastAsia="標楷體" w:hAnsi="Times New Roman"/>
                <w:color w:val="000000"/>
              </w:rPr>
              <w:t>稱跨校輔</w:t>
            </w:r>
            <w:proofErr w:type="gramEnd"/>
            <w:r w:rsidRPr="00B1489F">
              <w:rPr>
                <w:rFonts w:ascii="Times New Roman" w:eastAsia="標楷體" w:hAnsi="Times New Roman"/>
                <w:color w:val="000000"/>
              </w:rPr>
              <w:t>系指兩校學士班</w:t>
            </w:r>
            <w:proofErr w:type="gramStart"/>
            <w:r w:rsidRPr="00B1489F">
              <w:rPr>
                <w:rFonts w:ascii="Times New Roman" w:eastAsia="標楷體" w:hAnsi="Times New Roman"/>
                <w:color w:val="000000"/>
              </w:rPr>
              <w:t>學生加修他</w:t>
            </w:r>
            <w:proofErr w:type="gramEnd"/>
            <w:r w:rsidRPr="00B1489F">
              <w:rPr>
                <w:rFonts w:ascii="Times New Roman" w:eastAsia="標楷體" w:hAnsi="Times New Roman"/>
                <w:color w:val="000000"/>
              </w:rPr>
              <w:t>校性質</w:t>
            </w:r>
            <w:proofErr w:type="gramStart"/>
            <w:r w:rsidRPr="00B1489F">
              <w:rPr>
                <w:rFonts w:ascii="Times New Roman" w:eastAsia="標楷體" w:hAnsi="Times New Roman"/>
                <w:color w:val="000000"/>
              </w:rPr>
              <w:t>不</w:t>
            </w:r>
            <w:proofErr w:type="gramEnd"/>
            <w:r w:rsidRPr="00B1489F">
              <w:rPr>
                <w:rFonts w:ascii="Times New Roman" w:eastAsia="標楷體" w:hAnsi="Times New Roman"/>
                <w:color w:val="000000"/>
              </w:rPr>
              <w:t>同學系為輔系。</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2</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二</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辦理</w:t>
            </w:r>
            <w:proofErr w:type="gramStart"/>
            <w:r w:rsidRPr="00B1489F">
              <w:rPr>
                <w:rFonts w:ascii="Times New Roman" w:eastAsia="標楷體" w:hAnsi="Times New Roman"/>
                <w:color w:val="000000"/>
              </w:rPr>
              <w:t>跨校輔系</w:t>
            </w:r>
            <w:proofErr w:type="gramEnd"/>
            <w:r w:rsidRPr="00B1489F">
              <w:rPr>
                <w:rFonts w:ascii="Times New Roman" w:eastAsia="標楷體" w:hAnsi="Times New Roman"/>
                <w:color w:val="000000"/>
              </w:rPr>
              <w:t>應先簽訂</w:t>
            </w:r>
            <w:proofErr w:type="gramStart"/>
            <w:r w:rsidRPr="00B1489F">
              <w:rPr>
                <w:rFonts w:ascii="Times New Roman" w:eastAsia="標楷體" w:hAnsi="Times New Roman"/>
                <w:color w:val="000000"/>
              </w:rPr>
              <w:t>跨校輔系</w:t>
            </w:r>
            <w:proofErr w:type="gramEnd"/>
            <w:r w:rsidRPr="00B1489F">
              <w:rPr>
                <w:rFonts w:ascii="Times New Roman" w:eastAsia="標楷體" w:hAnsi="Times New Roman"/>
                <w:color w:val="000000"/>
              </w:rPr>
              <w:t>協議。</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3</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三</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學生申請</w:t>
            </w:r>
            <w:proofErr w:type="gramStart"/>
            <w:r w:rsidRPr="00B1489F">
              <w:rPr>
                <w:rFonts w:ascii="Times New Roman" w:eastAsia="標楷體" w:hAnsi="Times New Roman"/>
                <w:color w:val="000000"/>
              </w:rPr>
              <w:t>跨校輔系</w:t>
            </w:r>
            <w:proofErr w:type="gramEnd"/>
            <w:r w:rsidRPr="00B1489F">
              <w:rPr>
                <w:rFonts w:ascii="Times New Roman" w:eastAsia="標楷體" w:hAnsi="Times New Roman"/>
                <w:color w:val="000000"/>
              </w:rPr>
              <w:t>，須經雙方學校相關學系主管同意，並經雙方學校</w:t>
            </w:r>
            <w:proofErr w:type="gramStart"/>
            <w:r w:rsidRPr="00B1489F">
              <w:rPr>
                <w:rFonts w:ascii="Times New Roman" w:eastAsia="標楷體" w:hAnsi="Times New Roman"/>
                <w:color w:val="000000"/>
              </w:rPr>
              <w:t>校</w:t>
            </w:r>
            <w:proofErr w:type="gramEnd"/>
            <w:r w:rsidRPr="00B1489F">
              <w:rPr>
                <w:rFonts w:ascii="Times New Roman" w:eastAsia="標楷體" w:hAnsi="Times New Roman"/>
                <w:color w:val="000000"/>
              </w:rPr>
              <w:t>內相關程序審查通過。</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4</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四</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學生選修</w:t>
            </w:r>
            <w:proofErr w:type="gramStart"/>
            <w:r w:rsidRPr="00B1489F">
              <w:rPr>
                <w:rFonts w:ascii="Times New Roman" w:eastAsia="標楷體" w:hAnsi="Times New Roman"/>
                <w:color w:val="000000"/>
              </w:rPr>
              <w:t>跨校輔系</w:t>
            </w:r>
            <w:proofErr w:type="gramEnd"/>
            <w:r w:rsidRPr="00B1489F">
              <w:rPr>
                <w:rFonts w:ascii="Times New Roman" w:eastAsia="標楷體" w:hAnsi="Times New Roman"/>
                <w:color w:val="000000"/>
              </w:rPr>
              <w:t>課程及學分費事宜，依合作學校</w:t>
            </w:r>
            <w:proofErr w:type="gramStart"/>
            <w:r w:rsidRPr="00B1489F">
              <w:rPr>
                <w:rFonts w:ascii="Times New Roman" w:eastAsia="標楷體" w:hAnsi="Times New Roman"/>
                <w:color w:val="000000"/>
              </w:rPr>
              <w:t>跨校輔系</w:t>
            </w:r>
            <w:proofErr w:type="gramEnd"/>
            <w:r w:rsidRPr="00B1489F">
              <w:rPr>
                <w:rFonts w:ascii="Times New Roman" w:eastAsia="標楷體" w:hAnsi="Times New Roman"/>
                <w:color w:val="000000"/>
              </w:rPr>
              <w:t>協議辦理，相關規定另訂之。</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5</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五</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修</w:t>
            </w:r>
            <w:proofErr w:type="gramStart"/>
            <w:r w:rsidRPr="00B1489F">
              <w:rPr>
                <w:rFonts w:ascii="Times New Roman" w:eastAsia="標楷體" w:hAnsi="Times New Roman"/>
                <w:color w:val="000000"/>
              </w:rPr>
              <w:t>讀跨校輔</w:t>
            </w:r>
            <w:proofErr w:type="gramEnd"/>
            <w:r w:rsidRPr="00B1489F">
              <w:rPr>
                <w:rFonts w:ascii="Times New Roman" w:eastAsia="標楷體" w:hAnsi="Times New Roman"/>
                <w:color w:val="000000"/>
              </w:rPr>
              <w:t>系學生，除應修</w:t>
            </w:r>
            <w:proofErr w:type="gramStart"/>
            <w:r w:rsidRPr="00B1489F">
              <w:rPr>
                <w:rFonts w:ascii="Times New Roman" w:eastAsia="標楷體" w:hAnsi="Times New Roman"/>
                <w:color w:val="000000"/>
              </w:rPr>
              <w:t>滿主學</w:t>
            </w:r>
            <w:proofErr w:type="gramEnd"/>
            <w:r w:rsidRPr="00B1489F">
              <w:rPr>
                <w:rFonts w:ascii="Times New Roman" w:eastAsia="標楷體" w:hAnsi="Times New Roman"/>
                <w:color w:val="000000"/>
              </w:rPr>
              <w:t>系應修科目學分外，並應</w:t>
            </w:r>
            <w:proofErr w:type="gramStart"/>
            <w:r w:rsidRPr="00B1489F">
              <w:rPr>
                <w:rFonts w:ascii="Times New Roman" w:eastAsia="標楷體" w:hAnsi="Times New Roman"/>
                <w:color w:val="000000"/>
              </w:rPr>
              <w:t>加修輔</w:t>
            </w:r>
            <w:proofErr w:type="gramEnd"/>
            <w:r w:rsidRPr="00B1489F">
              <w:rPr>
                <w:rFonts w:ascii="Times New Roman" w:eastAsia="標楷體" w:hAnsi="Times New Roman"/>
                <w:color w:val="000000"/>
              </w:rPr>
              <w:t>系課程達到輔系應修學分總數。</w:t>
            </w:r>
          </w:p>
        </w:tc>
        <w:tc>
          <w:tcPr>
            <w:tcW w:w="1552"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1455"/>
          <w:tblHeader/>
        </w:trPr>
        <w:tc>
          <w:tcPr>
            <w:tcW w:w="4187" w:type="dxa"/>
            <w:shd w:val="clear" w:color="auto" w:fill="auto"/>
          </w:tcPr>
          <w:p w:rsidR="00A70335" w:rsidRPr="00B1489F" w:rsidRDefault="00A70335" w:rsidP="00AF4E97">
            <w:pPr>
              <w:spacing w:line="340" w:lineRule="exact"/>
              <w:ind w:left="10" w:right="24" w:hanging="10"/>
              <w:rPr>
                <w:rFonts w:ascii="Times New Roman" w:hAnsi="Times New Roman"/>
              </w:rPr>
            </w:pPr>
            <w:r w:rsidRPr="00B1489F">
              <w:rPr>
                <w:rFonts w:ascii="Times New Roman" w:eastAsia="標楷體" w:hAnsi="Times New Roman"/>
                <w:color w:val="000000"/>
              </w:rPr>
              <w:t>第</w:t>
            </w:r>
            <w:r w:rsidRPr="00B1489F">
              <w:rPr>
                <w:rFonts w:ascii="Times New Roman" w:eastAsia="標楷體" w:hAnsi="Times New Roman"/>
                <w:color w:val="000000"/>
                <w:u w:val="single"/>
              </w:rPr>
              <w:t>6</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學生修</w:t>
            </w:r>
            <w:proofErr w:type="gramStart"/>
            <w:r w:rsidRPr="00B1489F">
              <w:rPr>
                <w:rFonts w:ascii="Times New Roman" w:eastAsia="標楷體" w:hAnsi="Times New Roman"/>
                <w:color w:val="000000"/>
              </w:rPr>
              <w:t>讀跨校輔</w:t>
            </w:r>
            <w:proofErr w:type="gramEnd"/>
            <w:r w:rsidRPr="00B1489F">
              <w:rPr>
                <w:rFonts w:ascii="Times New Roman" w:eastAsia="標楷體" w:hAnsi="Times New Roman"/>
                <w:color w:val="000000"/>
              </w:rPr>
              <w:t>系，</w:t>
            </w:r>
            <w:proofErr w:type="gramStart"/>
            <w:r w:rsidRPr="00B1489F">
              <w:rPr>
                <w:rFonts w:ascii="Times New Roman" w:eastAsia="標楷體" w:hAnsi="Times New Roman"/>
                <w:color w:val="000000"/>
              </w:rPr>
              <w:t>經該輔系</w:t>
            </w:r>
            <w:proofErr w:type="gramEnd"/>
            <w:r w:rsidRPr="00B1489F">
              <w:rPr>
                <w:rFonts w:ascii="Times New Roman" w:eastAsia="標楷體" w:hAnsi="Times New Roman"/>
                <w:color w:val="000000"/>
              </w:rPr>
              <w:t>學校審核已滿足應修學分數者，</w:t>
            </w:r>
            <w:r w:rsidRPr="00B1489F">
              <w:rPr>
                <w:rFonts w:ascii="Times New Roman" w:eastAsia="標楷體" w:hAnsi="Times New Roman"/>
                <w:color w:val="000000"/>
                <w:u w:val="single"/>
              </w:rPr>
              <w:t>其</w:t>
            </w:r>
            <w:proofErr w:type="gramStart"/>
            <w:r w:rsidRPr="00B1489F">
              <w:rPr>
                <w:rFonts w:ascii="Times New Roman" w:eastAsia="標楷體" w:hAnsi="Times New Roman"/>
                <w:color w:val="000000"/>
                <w:u w:val="single"/>
              </w:rPr>
              <w:t>加修輔</w:t>
            </w:r>
            <w:proofErr w:type="gramEnd"/>
            <w:r w:rsidRPr="00B1489F">
              <w:rPr>
                <w:rFonts w:ascii="Times New Roman" w:eastAsia="標楷體" w:hAnsi="Times New Roman"/>
                <w:color w:val="000000"/>
                <w:u w:val="single"/>
              </w:rPr>
              <w:t>系之成績與</w:t>
            </w:r>
            <w:r w:rsidRPr="00B1489F">
              <w:rPr>
                <w:rFonts w:ascii="Times New Roman" w:eastAsia="標楷體" w:hAnsi="Times New Roman"/>
                <w:color w:val="000000"/>
                <w:u w:val="single"/>
              </w:rPr>
              <w:t xml:space="preserve"> </w:t>
            </w:r>
            <w:r w:rsidRPr="00B1489F">
              <w:rPr>
                <w:rFonts w:ascii="Times New Roman" w:eastAsia="標楷體" w:hAnsi="Times New Roman"/>
                <w:color w:val="000000"/>
                <w:u w:val="single"/>
              </w:rPr>
              <w:t>證明，由原學校核發。</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六</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學生修</w:t>
            </w:r>
            <w:proofErr w:type="gramStart"/>
            <w:r w:rsidRPr="00B1489F">
              <w:rPr>
                <w:rFonts w:ascii="Times New Roman" w:eastAsia="標楷體" w:hAnsi="Times New Roman"/>
                <w:color w:val="000000"/>
              </w:rPr>
              <w:t>讀跨校輔</w:t>
            </w:r>
            <w:proofErr w:type="gramEnd"/>
            <w:r w:rsidRPr="00B1489F">
              <w:rPr>
                <w:rFonts w:ascii="Times New Roman" w:eastAsia="標楷體" w:hAnsi="Times New Roman"/>
                <w:color w:val="000000"/>
              </w:rPr>
              <w:t>系，</w:t>
            </w:r>
            <w:proofErr w:type="gramStart"/>
            <w:r w:rsidRPr="00B1489F">
              <w:rPr>
                <w:rFonts w:ascii="Times New Roman" w:eastAsia="標楷體" w:hAnsi="Times New Roman"/>
                <w:color w:val="000000"/>
              </w:rPr>
              <w:t>經該輔系</w:t>
            </w:r>
            <w:proofErr w:type="gramEnd"/>
            <w:r w:rsidRPr="00B1489F">
              <w:rPr>
                <w:rFonts w:ascii="Times New Roman" w:eastAsia="標楷體" w:hAnsi="Times New Roman"/>
                <w:color w:val="000000"/>
              </w:rPr>
              <w:t>學校審核已滿足應修學分數者，</w:t>
            </w:r>
            <w:proofErr w:type="gramStart"/>
            <w:r w:rsidRPr="00B1489F">
              <w:rPr>
                <w:rFonts w:ascii="Times New Roman" w:eastAsia="標楷體" w:hAnsi="Times New Roman"/>
                <w:color w:val="000000"/>
              </w:rPr>
              <w:t>其輔系</w:t>
            </w:r>
            <w:proofErr w:type="gramEnd"/>
            <w:r w:rsidRPr="00B1489F">
              <w:rPr>
                <w:rFonts w:ascii="Times New Roman" w:eastAsia="標楷體" w:hAnsi="Times New Roman"/>
                <w:color w:val="000000"/>
              </w:rPr>
              <w:t>之成績與學分證明由</w:t>
            </w:r>
            <w:proofErr w:type="gramStart"/>
            <w:r w:rsidRPr="00B1489F">
              <w:rPr>
                <w:rFonts w:ascii="Times New Roman" w:eastAsia="標楷體" w:hAnsi="Times New Roman"/>
                <w:color w:val="000000"/>
              </w:rPr>
              <w:t>加修輔</w:t>
            </w:r>
            <w:proofErr w:type="gramEnd"/>
            <w:r w:rsidRPr="00B1489F">
              <w:rPr>
                <w:rFonts w:ascii="Times New Roman" w:eastAsia="標楷體" w:hAnsi="Times New Roman"/>
                <w:color w:val="000000"/>
              </w:rPr>
              <w:t>系學校核發。</w:t>
            </w:r>
          </w:p>
        </w:tc>
        <w:tc>
          <w:tcPr>
            <w:tcW w:w="1552"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修正條文內容</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7</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七</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本辦法未盡事宜悉依學生所在學校之學則及學生修讀輔系相關辦法辦理。</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r w:rsidR="00A70335" w:rsidRPr="00B1489F" w:rsidTr="00C822B4">
        <w:trPr>
          <w:trHeight w:val="397"/>
          <w:tblHeader/>
        </w:trPr>
        <w:tc>
          <w:tcPr>
            <w:tcW w:w="4187" w:type="dxa"/>
            <w:shd w:val="clear" w:color="auto" w:fill="auto"/>
          </w:tcPr>
          <w:p w:rsidR="00A70335" w:rsidRPr="00B1489F" w:rsidRDefault="00A70335" w:rsidP="00AF4E97">
            <w:pPr>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8</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同現行條文</w:t>
            </w:r>
          </w:p>
        </w:tc>
        <w:tc>
          <w:tcPr>
            <w:tcW w:w="4455"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第</w:t>
            </w:r>
            <w:r w:rsidRPr="00B1489F">
              <w:rPr>
                <w:rFonts w:ascii="Times New Roman" w:eastAsia="標楷體" w:hAnsi="Times New Roman"/>
                <w:color w:val="000000"/>
                <w:u w:val="single"/>
              </w:rPr>
              <w:t>八</w:t>
            </w:r>
            <w:r w:rsidRPr="00B1489F">
              <w:rPr>
                <w:rFonts w:ascii="Times New Roman" w:eastAsia="標楷體" w:hAnsi="Times New Roman"/>
                <w:color w:val="000000"/>
              </w:rPr>
              <w:t>條</w:t>
            </w:r>
          </w:p>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rPr>
              <w:t>本辦法</w:t>
            </w:r>
            <w:r w:rsidRPr="00B1489F">
              <w:rPr>
                <w:rFonts w:ascii="Times New Roman" w:eastAsia="標楷體" w:hAnsi="Times New Roman"/>
                <w:color w:val="000000"/>
                <w:kern w:val="0"/>
              </w:rPr>
              <w:t>經「中山高</w:t>
            </w:r>
            <w:proofErr w:type="gramStart"/>
            <w:r w:rsidRPr="00B1489F">
              <w:rPr>
                <w:rFonts w:ascii="Times New Roman" w:eastAsia="標楷體" w:hAnsi="Times New Roman"/>
                <w:color w:val="000000"/>
                <w:kern w:val="0"/>
              </w:rPr>
              <w:t>醫</w:t>
            </w:r>
            <w:proofErr w:type="gramEnd"/>
            <w:r w:rsidRPr="00B1489F">
              <w:rPr>
                <w:rFonts w:ascii="Times New Roman" w:eastAsia="標楷體" w:hAnsi="Times New Roman"/>
                <w:color w:val="000000"/>
                <w:kern w:val="0"/>
              </w:rPr>
              <w:t>攻頂大學聯盟」教務工作圈會議審議，提送兩校教務會議審議通過後公布實施，並報請教育部備查，修正時亦同。</w:t>
            </w:r>
          </w:p>
        </w:tc>
        <w:tc>
          <w:tcPr>
            <w:tcW w:w="1552" w:type="dxa"/>
            <w:shd w:val="clear" w:color="auto" w:fill="auto"/>
          </w:tcPr>
          <w:p w:rsidR="00A70335" w:rsidRPr="00B1489F" w:rsidRDefault="00A70335" w:rsidP="00AF4E97">
            <w:pPr>
              <w:spacing w:line="340" w:lineRule="exact"/>
              <w:ind w:left="10" w:right="24" w:hanging="10"/>
              <w:rPr>
                <w:rFonts w:ascii="Times New Roman" w:eastAsia="標楷體" w:hAnsi="Times New Roman"/>
                <w:color w:val="000000"/>
              </w:rPr>
            </w:pPr>
            <w:r w:rsidRPr="00B1489F">
              <w:rPr>
                <w:rFonts w:ascii="Times New Roman" w:eastAsia="標楷體" w:hAnsi="Times New Roman"/>
                <w:color w:val="000000"/>
                <w:kern w:val="0"/>
              </w:rPr>
              <w:t>本條未修正</w:t>
            </w:r>
          </w:p>
        </w:tc>
      </w:tr>
    </w:tbl>
    <w:p w:rsidR="00EC6673" w:rsidRPr="00A70335" w:rsidRDefault="00EC6673" w:rsidP="00A70335"/>
    <w:sectPr w:rsidR="00EC6673" w:rsidRPr="00A70335" w:rsidSect="00C8076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3C" w:rsidRDefault="0036713C" w:rsidP="001A0EDB">
      <w:r>
        <w:separator/>
      </w:r>
    </w:p>
  </w:endnote>
  <w:endnote w:type="continuationSeparator" w:id="0">
    <w:p w:rsidR="0036713C" w:rsidRDefault="0036713C" w:rsidP="001A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3C" w:rsidRDefault="0036713C" w:rsidP="001A0EDB">
      <w:r>
        <w:separator/>
      </w:r>
    </w:p>
  </w:footnote>
  <w:footnote w:type="continuationSeparator" w:id="0">
    <w:p w:rsidR="0036713C" w:rsidRDefault="0036713C" w:rsidP="001A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35"/>
    <w:rsid w:val="001A0EDB"/>
    <w:rsid w:val="0036713C"/>
    <w:rsid w:val="00A70335"/>
    <w:rsid w:val="00AB620A"/>
    <w:rsid w:val="00AD7335"/>
    <w:rsid w:val="00B1489F"/>
    <w:rsid w:val="00C822B4"/>
    <w:rsid w:val="00EC6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E114A-5023-4F7A-999C-975ED8A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3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0335"/>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A70335"/>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1A0EDB"/>
    <w:pPr>
      <w:tabs>
        <w:tab w:val="center" w:pos="4153"/>
        <w:tab w:val="right" w:pos="8306"/>
      </w:tabs>
      <w:snapToGrid w:val="0"/>
    </w:pPr>
    <w:rPr>
      <w:sz w:val="20"/>
      <w:szCs w:val="20"/>
    </w:rPr>
  </w:style>
  <w:style w:type="character" w:customStyle="1" w:styleId="a6">
    <w:name w:val="頁首 字元"/>
    <w:basedOn w:val="a0"/>
    <w:link w:val="a5"/>
    <w:uiPriority w:val="99"/>
    <w:rsid w:val="001A0EDB"/>
    <w:rPr>
      <w:rFonts w:ascii="Calibri" w:eastAsia="新細明體" w:hAnsi="Calibri" w:cs="Times New Roman"/>
      <w:sz w:val="20"/>
      <w:szCs w:val="20"/>
    </w:rPr>
  </w:style>
  <w:style w:type="paragraph" w:styleId="a7">
    <w:name w:val="footer"/>
    <w:basedOn w:val="a"/>
    <w:link w:val="a8"/>
    <w:uiPriority w:val="99"/>
    <w:unhideWhenUsed/>
    <w:rsid w:val="001A0EDB"/>
    <w:pPr>
      <w:tabs>
        <w:tab w:val="center" w:pos="4153"/>
        <w:tab w:val="right" w:pos="8306"/>
      </w:tabs>
      <w:snapToGrid w:val="0"/>
    </w:pPr>
    <w:rPr>
      <w:sz w:val="20"/>
      <w:szCs w:val="20"/>
    </w:rPr>
  </w:style>
  <w:style w:type="character" w:customStyle="1" w:styleId="a8">
    <w:name w:val="頁尾 字元"/>
    <w:basedOn w:val="a0"/>
    <w:link w:val="a7"/>
    <w:uiPriority w:val="99"/>
    <w:rsid w:val="001A0ED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2019-03-21T03:40:00Z</dcterms:created>
  <dcterms:modified xsi:type="dcterms:W3CDTF">2019-03-21T03:41:00Z</dcterms:modified>
</cp:coreProperties>
</file>