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3E" w:rsidRDefault="00975AD2" w:rsidP="007C343E">
      <w:pPr>
        <w:spacing w:line="500" w:lineRule="exact"/>
        <w:ind w:right="-23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高雄醫學大學生命科學院生命科學</w:t>
      </w:r>
      <w:r w:rsidRPr="00975AD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博士學位學程</w:t>
      </w:r>
      <w:r w:rsidRPr="00975AD2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研究生申請轉所細則</w:t>
      </w:r>
    </w:p>
    <w:p w:rsidR="007C343E" w:rsidRDefault="007C343E" w:rsidP="00D01987">
      <w:pPr>
        <w:spacing w:line="240" w:lineRule="atLeast"/>
        <w:ind w:leftChars="1300" w:left="3120" w:rightChars="-10" w:right="-24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9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03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19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10</w:t>
      </w:r>
      <w:r w:rsidR="00D01987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8</w:t>
      </w:r>
      <w:r w:rsidRPr="007C343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學年度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生命科學博士學位學程</w:t>
      </w:r>
      <w:r w:rsidRPr="007C343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第</w:t>
      </w:r>
      <w:r w:rsidRPr="007C343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5</w:t>
      </w:r>
      <w:r w:rsidRPr="007C343E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次會議審議通過</w:t>
      </w:r>
    </w:p>
    <w:p w:rsidR="00B559CA" w:rsidRDefault="00D01987" w:rsidP="00B559CA">
      <w:pPr>
        <w:spacing w:line="240" w:lineRule="atLeast"/>
        <w:ind w:leftChars="1300" w:left="3120" w:rightChars="-10" w:right="-24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109.03.25 108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學年度命科學院</w:t>
      </w:r>
      <w:r w:rsidRPr="00D01987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第</w:t>
      </w:r>
      <w:r w:rsidRPr="00D01987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3</w:t>
      </w:r>
      <w:r w:rsidRPr="00D01987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次院務會議暨第</w:t>
      </w:r>
      <w:r w:rsidRPr="00D01987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8</w:t>
      </w:r>
      <w:r w:rsidRPr="00D01987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次行政會議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修正通過</w:t>
      </w:r>
    </w:p>
    <w:p w:rsidR="00C04650" w:rsidRPr="007C343E" w:rsidRDefault="00C04650" w:rsidP="00B559CA">
      <w:pPr>
        <w:spacing w:line="240" w:lineRule="atLeast"/>
        <w:ind w:leftChars="1300" w:left="3120" w:rightChars="-10" w:right="-24"/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109.04.23 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高醫院生字第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1091100929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號函</w:t>
      </w:r>
      <w:r w:rsidR="008F7794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公布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3"/>
        <w:gridCol w:w="8335"/>
      </w:tblGrid>
      <w:tr w:rsidR="00417E4B" w:rsidRPr="00417E4B" w:rsidTr="00C00052">
        <w:trPr>
          <w:trHeight w:val="495"/>
        </w:trPr>
        <w:tc>
          <w:tcPr>
            <w:tcW w:w="1263" w:type="dxa"/>
            <w:shd w:val="clear" w:color="auto" w:fill="auto"/>
          </w:tcPr>
          <w:p w:rsidR="00975AD2" w:rsidRPr="00417E4B" w:rsidRDefault="00975AD2" w:rsidP="00C817E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第一條</w:t>
            </w:r>
          </w:p>
        </w:tc>
        <w:tc>
          <w:tcPr>
            <w:tcW w:w="8335" w:type="dxa"/>
            <w:shd w:val="clear" w:color="auto" w:fill="auto"/>
          </w:tcPr>
          <w:p w:rsidR="00975AD2" w:rsidRPr="00417E4B" w:rsidRDefault="00975AD2" w:rsidP="00C00052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eastAsia="標楷體" w:hint="eastAsia"/>
                <w:color w:val="000000" w:themeColor="text1"/>
              </w:rPr>
              <w:t>生命科學博士學位學程</w:t>
            </w:r>
            <w:r w:rsidRPr="00417E4B">
              <w:rPr>
                <w:rFonts w:eastAsia="標楷體"/>
                <w:color w:val="000000" w:themeColor="text1"/>
              </w:rPr>
              <w:t>（以下簡稱本</w:t>
            </w:r>
            <w:r w:rsidRPr="00417E4B">
              <w:rPr>
                <w:rFonts w:eastAsia="標楷體" w:hint="eastAsia"/>
                <w:color w:val="000000" w:themeColor="text1"/>
              </w:rPr>
              <w:t>學程</w:t>
            </w:r>
            <w:r w:rsidRPr="00417E4B">
              <w:rPr>
                <w:rFonts w:eastAsia="標楷體"/>
                <w:color w:val="000000" w:themeColor="text1"/>
              </w:rPr>
              <w:t>）為辦理研究生申請轉所事宜，依本校碩、博士班研究生申請轉所辦法第三條訂定本細則。</w:t>
            </w:r>
          </w:p>
        </w:tc>
      </w:tr>
      <w:tr w:rsidR="00417E4B" w:rsidRPr="00417E4B" w:rsidTr="00C00052">
        <w:trPr>
          <w:trHeight w:val="990"/>
        </w:trPr>
        <w:tc>
          <w:tcPr>
            <w:tcW w:w="1263" w:type="dxa"/>
            <w:shd w:val="clear" w:color="auto" w:fill="auto"/>
          </w:tcPr>
          <w:p w:rsidR="00975AD2" w:rsidRPr="00417E4B" w:rsidRDefault="00975AD2" w:rsidP="006E04D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第二條</w:t>
            </w:r>
          </w:p>
        </w:tc>
        <w:tc>
          <w:tcPr>
            <w:tcW w:w="8335" w:type="dxa"/>
            <w:shd w:val="clear" w:color="auto" w:fill="auto"/>
          </w:tcPr>
          <w:p w:rsidR="00975AD2" w:rsidRPr="00417E4B" w:rsidRDefault="00975AD2" w:rsidP="00C00052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17E4B">
              <w:rPr>
                <w:rFonts w:eastAsia="標楷體"/>
                <w:color w:val="000000" w:themeColor="text1"/>
              </w:rPr>
              <w:t>本</w:t>
            </w:r>
            <w:r w:rsidR="00D01987" w:rsidRPr="00417E4B">
              <w:rPr>
                <w:rFonts w:eastAsia="標楷體" w:hint="eastAsia"/>
                <w:color w:val="000000" w:themeColor="text1"/>
                <w:u w:val="single"/>
              </w:rPr>
              <w:t>校</w:t>
            </w:r>
            <w:r w:rsidRPr="00417E4B">
              <w:rPr>
                <w:rFonts w:eastAsia="標楷體" w:hint="eastAsia"/>
                <w:color w:val="000000" w:themeColor="text1"/>
              </w:rPr>
              <w:t>研究生修業</w:t>
            </w:r>
            <w:r w:rsidRPr="00417E4B">
              <w:rPr>
                <w:rFonts w:eastAsia="標楷體"/>
                <w:color w:val="000000" w:themeColor="text1"/>
              </w:rPr>
              <w:t>滿一年以上，得於規定期限內，經原就讀系所同意後，向教務處提出轉所申請</w:t>
            </w:r>
            <w:r w:rsidRPr="00417E4B">
              <w:rPr>
                <w:rFonts w:eastAsia="標楷體" w:hint="eastAsia"/>
                <w:color w:val="000000" w:themeColor="text1"/>
              </w:rPr>
              <w:t>，但休學期間或相關法令另有規定不得轉所者，從其規定。</w:t>
            </w:r>
          </w:p>
        </w:tc>
      </w:tr>
      <w:tr w:rsidR="00417E4B" w:rsidRPr="00417E4B" w:rsidTr="00C00052">
        <w:trPr>
          <w:trHeight w:val="990"/>
        </w:trPr>
        <w:tc>
          <w:tcPr>
            <w:tcW w:w="1263" w:type="dxa"/>
            <w:shd w:val="clear" w:color="auto" w:fill="auto"/>
          </w:tcPr>
          <w:p w:rsidR="000B4F3A" w:rsidRPr="00417E4B" w:rsidRDefault="006E04DA" w:rsidP="00C817E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第三條</w:t>
            </w:r>
          </w:p>
        </w:tc>
        <w:tc>
          <w:tcPr>
            <w:tcW w:w="8335" w:type="dxa"/>
            <w:shd w:val="clear" w:color="auto" w:fill="auto"/>
          </w:tcPr>
          <w:p w:rsidR="006E04DA" w:rsidRPr="00417E4B" w:rsidRDefault="000B4F3A" w:rsidP="00C00052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由</w:t>
            </w:r>
            <w:r w:rsidRPr="00417E4B">
              <w:rPr>
                <w:rFonts w:eastAsia="標楷體"/>
                <w:color w:val="000000" w:themeColor="text1"/>
              </w:rPr>
              <w:t>本學程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研究生轉所甄審委員會（以下簡稱甄審會）審查決</w:t>
            </w:r>
            <w:r w:rsidRPr="00417E4B">
              <w:rPr>
                <w:rFonts w:ascii="Times New Roman" w:eastAsia="標楷體" w:hAnsi="Times New Roman" w:hint="eastAsia"/>
                <w:color w:val="000000" w:themeColor="text1"/>
              </w:rPr>
              <w:t>議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有關研究生轉入</w:t>
            </w:r>
            <w:r w:rsidR="006E04DA" w:rsidRPr="00417E4B">
              <w:rPr>
                <w:rFonts w:eastAsia="標楷體"/>
                <w:color w:val="000000" w:themeColor="text1"/>
              </w:rPr>
              <w:t>本學程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各項甄審事宜。</w:t>
            </w:r>
            <w:r w:rsidR="006E04DA" w:rsidRPr="00417E4B">
              <w:rPr>
                <w:rFonts w:ascii="Times New Roman" w:eastAsia="標楷體" w:hAnsi="Times New Roman"/>
                <w:color w:val="000000" w:themeColor="text1"/>
              </w:rPr>
              <w:t>甄審會</w:t>
            </w:r>
            <w:r w:rsidR="006E04DA" w:rsidRPr="00417E4B">
              <w:rPr>
                <w:rFonts w:ascii="Times New Roman" w:eastAsia="標楷體" w:hAnsi="Times New Roman"/>
                <w:color w:val="000000" w:themeColor="text1"/>
                <w:kern w:val="0"/>
              </w:rPr>
              <w:t>由</w:t>
            </w:r>
            <w:r w:rsidR="006E04DA" w:rsidRPr="00417E4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學程主任</w:t>
            </w:r>
            <w:r w:rsidR="006E04DA" w:rsidRPr="00417E4B">
              <w:rPr>
                <w:rFonts w:ascii="Times New Roman" w:eastAsia="標楷體" w:hAnsi="Times New Roman"/>
                <w:color w:val="000000" w:themeColor="text1"/>
                <w:kern w:val="0"/>
              </w:rPr>
              <w:t>擔任召集人，另置委員</w:t>
            </w:r>
            <w:r w:rsidR="006E04DA" w:rsidRPr="00417E4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若干名</w:t>
            </w:r>
            <w:r w:rsidR="006E04DA" w:rsidRPr="00417E4B">
              <w:rPr>
                <w:rFonts w:ascii="Times New Roman" w:eastAsia="標楷體" w:hAnsi="Times New Roman"/>
                <w:color w:val="000000" w:themeColor="text1"/>
                <w:kern w:val="0"/>
              </w:rPr>
              <w:t>，由</w:t>
            </w:r>
            <w:r w:rsidR="006E04DA" w:rsidRPr="00417E4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學程主任</w:t>
            </w:r>
            <w:r w:rsidR="006E04DA" w:rsidRPr="00417E4B">
              <w:rPr>
                <w:rFonts w:ascii="Times New Roman" w:eastAsia="標楷體" w:hAnsi="Times New Roman"/>
                <w:color w:val="000000" w:themeColor="text1"/>
                <w:kern w:val="0"/>
              </w:rPr>
              <w:t>自</w:t>
            </w:r>
            <w:r w:rsidR="006E04DA" w:rsidRPr="00417E4B">
              <w:rPr>
                <w:rFonts w:eastAsia="標楷體" w:hint="eastAsia"/>
                <w:color w:val="000000" w:themeColor="text1"/>
              </w:rPr>
              <w:t>生命科學院</w:t>
            </w:r>
            <w:r w:rsidR="006E04DA" w:rsidRPr="00417E4B">
              <w:rPr>
                <w:rFonts w:ascii="Times New Roman" w:eastAsia="標楷體" w:hAnsi="Times New Roman"/>
                <w:color w:val="000000" w:themeColor="text1"/>
                <w:kern w:val="0"/>
              </w:rPr>
              <w:t>教師中遴聘之。</w:t>
            </w:r>
          </w:p>
          <w:p w:rsidR="006E04DA" w:rsidRPr="00417E4B" w:rsidRDefault="006E04DA" w:rsidP="00875356">
            <w:pPr>
              <w:jc w:val="both"/>
              <w:rPr>
                <w:rFonts w:eastAsia="標楷體"/>
                <w:color w:val="000000" w:themeColor="text1"/>
              </w:rPr>
            </w:pPr>
            <w:r w:rsidRPr="00417E4B">
              <w:rPr>
                <w:rFonts w:eastAsia="標楷體"/>
                <w:color w:val="000000" w:themeColor="text1"/>
              </w:rPr>
              <w:t>轉所申請</w:t>
            </w:r>
            <w:r w:rsidRPr="00417E4B">
              <w:rPr>
                <w:rFonts w:eastAsia="標楷體" w:hint="eastAsia"/>
                <w:color w:val="000000" w:themeColor="text1"/>
              </w:rPr>
              <w:t>經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甄審會</w:t>
            </w:r>
            <w:r w:rsidRPr="00417E4B">
              <w:rPr>
                <w:rFonts w:eastAsia="標楷體"/>
                <w:color w:val="000000" w:themeColor="text1"/>
              </w:rPr>
              <w:t>審查，</w:t>
            </w:r>
            <w:r w:rsidR="00875356" w:rsidRPr="00417E4B">
              <w:rPr>
                <w:rFonts w:eastAsia="標楷體" w:hint="eastAsia"/>
                <w:color w:val="000000" w:themeColor="text1"/>
              </w:rPr>
              <w:t>審查結果</w:t>
            </w:r>
            <w:r w:rsidRPr="00417E4B">
              <w:rPr>
                <w:rFonts w:eastAsia="標楷體" w:hint="eastAsia"/>
                <w:color w:val="000000" w:themeColor="text1"/>
              </w:rPr>
              <w:t>經</w:t>
            </w:r>
            <w:r w:rsidRPr="00417E4B">
              <w:rPr>
                <w:rFonts w:eastAsia="標楷體"/>
                <w:color w:val="000000" w:themeColor="text1"/>
              </w:rPr>
              <w:t>學程主</w:t>
            </w:r>
            <w:bookmarkStart w:id="0" w:name="_GoBack"/>
            <w:bookmarkEnd w:id="0"/>
            <w:r w:rsidRPr="00417E4B">
              <w:rPr>
                <w:rFonts w:eastAsia="標楷體"/>
                <w:color w:val="000000" w:themeColor="text1"/>
              </w:rPr>
              <w:t>任</w:t>
            </w:r>
            <w:r w:rsidRPr="00417E4B">
              <w:rPr>
                <w:rFonts w:eastAsia="標楷體" w:hint="eastAsia"/>
                <w:color w:val="000000" w:themeColor="text1"/>
              </w:rPr>
              <w:t>、院長、教務長同意</w:t>
            </w:r>
            <w:r w:rsidR="00875356" w:rsidRPr="00417E4B">
              <w:rPr>
                <w:rFonts w:eastAsia="標楷體" w:hint="eastAsia"/>
                <w:color w:val="000000" w:themeColor="text1"/>
              </w:rPr>
              <w:t>後</w:t>
            </w:r>
            <w:r w:rsidRPr="00417E4B">
              <w:rPr>
                <w:rFonts w:eastAsia="標楷體" w:hint="eastAsia"/>
                <w:color w:val="000000" w:themeColor="text1"/>
              </w:rPr>
              <w:t>，由教務處陳請校長核定後公佈</w:t>
            </w:r>
          </w:p>
        </w:tc>
      </w:tr>
      <w:tr w:rsidR="00417E4B" w:rsidRPr="00417E4B" w:rsidTr="00C00052">
        <w:trPr>
          <w:trHeight w:val="990"/>
        </w:trPr>
        <w:tc>
          <w:tcPr>
            <w:tcW w:w="1263" w:type="dxa"/>
            <w:shd w:val="clear" w:color="auto" w:fill="auto"/>
          </w:tcPr>
          <w:p w:rsidR="008D5CC0" w:rsidRPr="00417E4B" w:rsidRDefault="006E04DA" w:rsidP="008D5C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第四條</w:t>
            </w:r>
          </w:p>
        </w:tc>
        <w:tc>
          <w:tcPr>
            <w:tcW w:w="8335" w:type="dxa"/>
            <w:shd w:val="clear" w:color="auto" w:fill="auto"/>
          </w:tcPr>
          <w:p w:rsidR="008D5CC0" w:rsidRPr="00417E4B" w:rsidRDefault="008D5CC0" w:rsidP="008D5CC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申請轉所之研究生需繳交下列資料：</w:t>
            </w:r>
          </w:p>
          <w:p w:rsidR="008D5CC0" w:rsidRPr="00417E4B" w:rsidRDefault="008D5CC0" w:rsidP="008D5CC0">
            <w:pPr>
              <w:numPr>
                <w:ilvl w:val="0"/>
                <w:numId w:val="20"/>
              </w:numPr>
              <w:ind w:left="614" w:hanging="61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研究所轉所申請表。</w:t>
            </w:r>
          </w:p>
          <w:p w:rsidR="008D5CC0" w:rsidRPr="00417E4B" w:rsidRDefault="008D5CC0" w:rsidP="008D5CC0">
            <w:pPr>
              <w:numPr>
                <w:ilvl w:val="0"/>
                <w:numId w:val="20"/>
              </w:numPr>
              <w:ind w:left="614" w:hanging="61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研究所歷年成績單正本。</w:t>
            </w:r>
          </w:p>
          <w:p w:rsidR="008D5CC0" w:rsidRPr="00417E4B" w:rsidRDefault="008D5CC0" w:rsidP="008D5CC0">
            <w:pPr>
              <w:numPr>
                <w:ilvl w:val="0"/>
                <w:numId w:val="20"/>
              </w:numPr>
              <w:ind w:left="614" w:hanging="61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自傳（含轉所原因）及未來學習計畫書。</w:t>
            </w:r>
          </w:p>
          <w:p w:rsidR="008D5CC0" w:rsidRPr="00417E4B" w:rsidRDefault="008D5CC0" w:rsidP="008D5CC0">
            <w:pPr>
              <w:numPr>
                <w:ilvl w:val="0"/>
                <w:numId w:val="20"/>
              </w:numPr>
              <w:ind w:left="614" w:hanging="614"/>
              <w:jc w:val="both"/>
              <w:rPr>
                <w:rFonts w:eastAsia="標楷體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其他有助於審查之資料。</w:t>
            </w:r>
          </w:p>
        </w:tc>
      </w:tr>
      <w:tr w:rsidR="00417E4B" w:rsidRPr="00417E4B" w:rsidTr="00111731">
        <w:trPr>
          <w:trHeight w:val="728"/>
        </w:trPr>
        <w:tc>
          <w:tcPr>
            <w:tcW w:w="1263" w:type="dxa"/>
            <w:shd w:val="clear" w:color="auto" w:fill="auto"/>
          </w:tcPr>
          <w:p w:rsidR="008D5CC0" w:rsidRPr="00417E4B" w:rsidRDefault="008D5CC0" w:rsidP="008D5C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第五條</w:t>
            </w:r>
          </w:p>
        </w:tc>
        <w:tc>
          <w:tcPr>
            <w:tcW w:w="8335" w:type="dxa"/>
            <w:shd w:val="clear" w:color="auto" w:fill="auto"/>
          </w:tcPr>
          <w:p w:rsidR="00A3405C" w:rsidRPr="00417E4B" w:rsidRDefault="00A3405C" w:rsidP="00A3405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審查標準：</w:t>
            </w:r>
          </w:p>
          <w:p w:rsidR="00A3405C" w:rsidRPr="00417E4B" w:rsidRDefault="00A3405C" w:rsidP="00A3405C">
            <w:pPr>
              <w:numPr>
                <w:ilvl w:val="0"/>
                <w:numId w:val="19"/>
              </w:numPr>
              <w:ind w:left="614" w:hanging="61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書面審查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50%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8D5CC0" w:rsidRPr="00417E4B" w:rsidRDefault="00A3405C" w:rsidP="00A3405C">
            <w:pPr>
              <w:numPr>
                <w:ilvl w:val="0"/>
                <w:numId w:val="19"/>
              </w:numPr>
              <w:ind w:left="614" w:hanging="61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面試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50%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</w:tr>
      <w:tr w:rsidR="00417E4B" w:rsidRPr="00417E4B" w:rsidTr="00C00052">
        <w:trPr>
          <w:trHeight w:val="742"/>
        </w:trPr>
        <w:tc>
          <w:tcPr>
            <w:tcW w:w="1263" w:type="dxa"/>
            <w:shd w:val="clear" w:color="auto" w:fill="auto"/>
          </w:tcPr>
          <w:p w:rsidR="008D5CC0" w:rsidRPr="00417E4B" w:rsidRDefault="008D5CC0" w:rsidP="008D5C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第六條</w:t>
            </w:r>
          </w:p>
        </w:tc>
        <w:tc>
          <w:tcPr>
            <w:tcW w:w="8335" w:type="dxa"/>
            <w:shd w:val="clear" w:color="auto" w:fill="auto"/>
          </w:tcPr>
          <w:p w:rsidR="0064612E" w:rsidRPr="00417E4B" w:rsidRDefault="00F00701" w:rsidP="00A3405C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8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  <w:kern w:val="0"/>
                <w:szCs w:val="28"/>
              </w:rPr>
              <w:t>研究生轉所以一次為限，凡經核准轉所學生，不得再行請求更改或轉回原研究所就讀，並需完成轉入研究所之畢業條件，始得畢業，研究生不得因轉所延長修業期限。</w:t>
            </w:r>
          </w:p>
          <w:p w:rsidR="00F00701" w:rsidRPr="00417E4B" w:rsidRDefault="00F00701" w:rsidP="00A3405C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8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  <w:kern w:val="0"/>
                <w:szCs w:val="28"/>
              </w:rPr>
              <w:t>申請轉所未經通過者，仍回原研究所就讀。</w:t>
            </w:r>
          </w:p>
          <w:p w:rsidR="008D5CC0" w:rsidRPr="00417E4B" w:rsidRDefault="00F00701" w:rsidP="00A3405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  <w:kern w:val="0"/>
                <w:szCs w:val="28"/>
              </w:rPr>
              <w:t>轉所研究生於轉入後，應依本校相關規定申請學分抵免採計。</w:t>
            </w:r>
          </w:p>
        </w:tc>
      </w:tr>
      <w:tr w:rsidR="00417E4B" w:rsidRPr="00417E4B" w:rsidTr="00111731">
        <w:trPr>
          <w:trHeight w:val="198"/>
        </w:trPr>
        <w:tc>
          <w:tcPr>
            <w:tcW w:w="1263" w:type="dxa"/>
            <w:shd w:val="clear" w:color="auto" w:fill="auto"/>
          </w:tcPr>
          <w:p w:rsidR="008D5CC0" w:rsidRPr="00417E4B" w:rsidRDefault="008D5CC0" w:rsidP="008D5C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第七條</w:t>
            </w:r>
          </w:p>
        </w:tc>
        <w:tc>
          <w:tcPr>
            <w:tcW w:w="8335" w:type="dxa"/>
            <w:shd w:val="clear" w:color="auto" w:fill="auto"/>
          </w:tcPr>
          <w:p w:rsidR="008D5CC0" w:rsidRPr="00417E4B" w:rsidRDefault="00891382" w:rsidP="0011173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本學程內申請轉組者，比照本細則</w:t>
            </w:r>
            <w:r w:rsidR="00111731" w:rsidRPr="00417E4B">
              <w:rPr>
                <w:rFonts w:ascii="Times New Roman" w:eastAsia="標楷體" w:hAnsi="Times New Roman"/>
                <w:color w:val="000000" w:themeColor="text1"/>
              </w:rPr>
              <w:t>各項規定</w:t>
            </w:r>
            <w:r w:rsidRPr="00417E4B">
              <w:rPr>
                <w:rFonts w:eastAsia="標楷體"/>
                <w:color w:val="000000" w:themeColor="text1"/>
              </w:rPr>
              <w:t>辦理。</w:t>
            </w:r>
          </w:p>
        </w:tc>
      </w:tr>
      <w:tr w:rsidR="00417E4B" w:rsidRPr="00417E4B" w:rsidTr="00875356">
        <w:trPr>
          <w:trHeight w:val="197"/>
        </w:trPr>
        <w:tc>
          <w:tcPr>
            <w:tcW w:w="1263" w:type="dxa"/>
            <w:shd w:val="clear" w:color="auto" w:fill="auto"/>
          </w:tcPr>
          <w:p w:rsidR="008D5CC0" w:rsidRPr="00417E4B" w:rsidRDefault="008D5CC0" w:rsidP="008D5C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第八條</w:t>
            </w:r>
          </w:p>
        </w:tc>
        <w:tc>
          <w:tcPr>
            <w:tcW w:w="8335" w:type="dxa"/>
            <w:shd w:val="clear" w:color="auto" w:fill="auto"/>
          </w:tcPr>
          <w:p w:rsidR="008D5CC0" w:rsidRPr="00417E4B" w:rsidRDefault="00111731" w:rsidP="0087535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本細則未規定事項，悉依本校碩、博士班研究生申請轉所辦法</w:t>
            </w:r>
            <w:r w:rsidRPr="00417E4B">
              <w:rPr>
                <w:rFonts w:ascii="Times New Roman" w:eastAsia="標楷體" w:hAnsi="Times New Roman" w:hint="eastAsia"/>
                <w:color w:val="000000" w:themeColor="text1"/>
              </w:rPr>
              <w:t>等</w:t>
            </w:r>
            <w:r w:rsidRPr="00417E4B">
              <w:rPr>
                <w:rFonts w:ascii="Times New Roman" w:eastAsia="標楷體" w:hAnsi="Times New Roman"/>
                <w:color w:val="000000" w:themeColor="text1"/>
              </w:rPr>
              <w:t>相關規定辦理。</w:t>
            </w:r>
          </w:p>
        </w:tc>
      </w:tr>
      <w:tr w:rsidR="00417E4B" w:rsidRPr="00417E4B" w:rsidTr="00111731">
        <w:trPr>
          <w:trHeight w:val="114"/>
        </w:trPr>
        <w:tc>
          <w:tcPr>
            <w:tcW w:w="1263" w:type="dxa"/>
            <w:shd w:val="clear" w:color="auto" w:fill="auto"/>
          </w:tcPr>
          <w:p w:rsidR="008D5CC0" w:rsidRPr="00417E4B" w:rsidRDefault="008D5CC0" w:rsidP="008D5C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ascii="Times New Roman" w:eastAsia="標楷體" w:hAnsi="Times New Roman"/>
                <w:color w:val="000000" w:themeColor="text1"/>
              </w:rPr>
              <w:t>第九條</w:t>
            </w:r>
          </w:p>
        </w:tc>
        <w:tc>
          <w:tcPr>
            <w:tcW w:w="8335" w:type="dxa"/>
            <w:shd w:val="clear" w:color="auto" w:fill="auto"/>
          </w:tcPr>
          <w:p w:rsidR="008D5CC0" w:rsidRPr="00417E4B" w:rsidRDefault="00111731" w:rsidP="00C9533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17E4B">
              <w:rPr>
                <w:rFonts w:eastAsia="標楷體"/>
                <w:color w:val="000000" w:themeColor="text1"/>
              </w:rPr>
              <w:t>本細則經</w:t>
            </w:r>
            <w:r w:rsidRPr="00417E4B">
              <w:rPr>
                <w:rFonts w:eastAsia="標楷體" w:hint="eastAsia"/>
                <w:color w:val="000000" w:themeColor="text1"/>
              </w:rPr>
              <w:t>學程</w:t>
            </w:r>
            <w:r w:rsidRPr="00417E4B">
              <w:rPr>
                <w:rFonts w:eastAsia="標楷體"/>
                <w:color w:val="000000" w:themeColor="text1"/>
              </w:rPr>
              <w:t>會議及院務會議審議通過，送教務處檢核</w:t>
            </w:r>
            <w:r w:rsidR="007E6AB0" w:rsidRPr="00417E4B">
              <w:rPr>
                <w:rFonts w:eastAsia="標楷體" w:hint="eastAsia"/>
                <w:color w:val="000000" w:themeColor="text1"/>
              </w:rPr>
              <w:t>後</w:t>
            </w:r>
            <w:r w:rsidR="007E6AB0" w:rsidRPr="00417E4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E6AB0" w:rsidRPr="00417E4B">
              <w:rPr>
                <w:rFonts w:eastAsia="標楷體" w:hint="eastAsia"/>
                <w:color w:val="000000" w:themeColor="text1"/>
              </w:rPr>
              <w:t>自公布日起實施，修正時亦同。</w:t>
            </w:r>
          </w:p>
        </w:tc>
      </w:tr>
    </w:tbl>
    <w:p w:rsidR="00975AD2" w:rsidRPr="000D37D1" w:rsidRDefault="00975AD2" w:rsidP="00975AD2"/>
    <w:p w:rsidR="000265A1" w:rsidRPr="007E6AB0" w:rsidRDefault="000265A1" w:rsidP="007D42CA">
      <w:pPr>
        <w:widowControl/>
        <w:rPr>
          <w:rFonts w:ascii="Times New Roman" w:eastAsia="標楷體" w:hAnsi="Times New Roman"/>
          <w:b/>
        </w:rPr>
      </w:pPr>
    </w:p>
    <w:sectPr w:rsidR="000265A1" w:rsidRPr="007E6AB0" w:rsidSect="00975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C9" w:rsidRDefault="00677FC9" w:rsidP="009E7806">
      <w:r>
        <w:separator/>
      </w:r>
    </w:p>
  </w:endnote>
  <w:endnote w:type="continuationSeparator" w:id="0">
    <w:p w:rsidR="00677FC9" w:rsidRDefault="00677FC9" w:rsidP="009E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C9" w:rsidRDefault="00677FC9" w:rsidP="009E7806">
      <w:r>
        <w:separator/>
      </w:r>
    </w:p>
  </w:footnote>
  <w:footnote w:type="continuationSeparator" w:id="0">
    <w:p w:rsidR="00677FC9" w:rsidRDefault="00677FC9" w:rsidP="009E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3D7"/>
    <w:multiLevelType w:val="hybridMultilevel"/>
    <w:tmpl w:val="6F4048A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87486"/>
    <w:multiLevelType w:val="hybridMultilevel"/>
    <w:tmpl w:val="AD60E164"/>
    <w:lvl w:ilvl="0" w:tplc="357C4C3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103ACA6A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9571A"/>
    <w:multiLevelType w:val="hybridMultilevel"/>
    <w:tmpl w:val="BF6ABA04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134919"/>
    <w:multiLevelType w:val="hybridMultilevel"/>
    <w:tmpl w:val="7A0A50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F44654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4E1CCA"/>
    <w:multiLevelType w:val="hybridMultilevel"/>
    <w:tmpl w:val="D39CB21E"/>
    <w:lvl w:ilvl="0" w:tplc="74B6E02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565617"/>
    <w:multiLevelType w:val="hybridMultilevel"/>
    <w:tmpl w:val="AD60E164"/>
    <w:lvl w:ilvl="0" w:tplc="357C4C3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103ACA6A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3E3355"/>
    <w:multiLevelType w:val="hybridMultilevel"/>
    <w:tmpl w:val="4A5E776E"/>
    <w:lvl w:ilvl="0" w:tplc="357C4C3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66B40"/>
    <w:multiLevelType w:val="hybridMultilevel"/>
    <w:tmpl w:val="A0BAA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877BBD"/>
    <w:multiLevelType w:val="hybridMultilevel"/>
    <w:tmpl w:val="8F0A1156"/>
    <w:lvl w:ilvl="0" w:tplc="8D0C6EF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855A8"/>
    <w:multiLevelType w:val="hybridMultilevel"/>
    <w:tmpl w:val="B8D69D70"/>
    <w:lvl w:ilvl="0" w:tplc="51D0129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12586"/>
    <w:multiLevelType w:val="hybridMultilevel"/>
    <w:tmpl w:val="AD60E164"/>
    <w:lvl w:ilvl="0" w:tplc="357C4C3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103ACA6A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C32C1"/>
    <w:multiLevelType w:val="hybridMultilevel"/>
    <w:tmpl w:val="150E309C"/>
    <w:lvl w:ilvl="0" w:tplc="51D0129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7A0A5DA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34D05A5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B16B99"/>
    <w:multiLevelType w:val="hybridMultilevel"/>
    <w:tmpl w:val="32A096A8"/>
    <w:lvl w:ilvl="0" w:tplc="1C30D3A2">
      <w:start w:val="1"/>
      <w:numFmt w:val="taiwaneseCountingThousand"/>
      <w:lvlText w:val="%1、"/>
      <w:lvlJc w:val="left"/>
      <w:pPr>
        <w:ind w:left="936" w:hanging="936"/>
      </w:pPr>
      <w:rPr>
        <w:rFonts w:hint="default"/>
        <w:b w:val="0"/>
        <w:sz w:val="24"/>
        <w:lang w:val="en-US"/>
      </w:rPr>
    </w:lvl>
    <w:lvl w:ilvl="1" w:tplc="5B30B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965ACE"/>
    <w:multiLevelType w:val="hybridMultilevel"/>
    <w:tmpl w:val="D79C2A4E"/>
    <w:lvl w:ilvl="0" w:tplc="41DE38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0273ED"/>
    <w:multiLevelType w:val="hybridMultilevel"/>
    <w:tmpl w:val="F202F3E2"/>
    <w:lvl w:ilvl="0" w:tplc="B8C291E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445FD3"/>
    <w:multiLevelType w:val="hybridMultilevel"/>
    <w:tmpl w:val="16F89E26"/>
    <w:lvl w:ilvl="0" w:tplc="04090015">
      <w:start w:val="1"/>
      <w:numFmt w:val="taiwaneseCountingThousand"/>
      <w:lvlText w:val="%1、"/>
      <w:lvlJc w:val="left"/>
      <w:pPr>
        <w:ind w:left="87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D21F56"/>
    <w:multiLevelType w:val="hybridMultilevel"/>
    <w:tmpl w:val="685272D0"/>
    <w:lvl w:ilvl="0" w:tplc="359C137C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19C03F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C90CA1"/>
    <w:multiLevelType w:val="hybridMultilevel"/>
    <w:tmpl w:val="81DC4DFE"/>
    <w:lvl w:ilvl="0" w:tplc="04090001">
      <w:start w:val="1"/>
      <w:numFmt w:val="bullet"/>
      <w:lvlText w:val=""/>
      <w:lvlJc w:val="left"/>
      <w:pPr>
        <w:ind w:left="7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6E306497"/>
    <w:multiLevelType w:val="hybridMultilevel"/>
    <w:tmpl w:val="4A5E776E"/>
    <w:lvl w:ilvl="0" w:tplc="357C4C3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FF6EA6"/>
    <w:multiLevelType w:val="hybridMultilevel"/>
    <w:tmpl w:val="1FD6D448"/>
    <w:lvl w:ilvl="0" w:tplc="66FAFCC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006549"/>
    <w:multiLevelType w:val="hybridMultilevel"/>
    <w:tmpl w:val="DD9AF6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025481"/>
    <w:multiLevelType w:val="hybridMultilevel"/>
    <w:tmpl w:val="331891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9732AC"/>
    <w:multiLevelType w:val="hybridMultilevel"/>
    <w:tmpl w:val="5F26B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3"/>
  </w:num>
  <w:num w:numId="9">
    <w:abstractNumId w:val="15"/>
  </w:num>
  <w:num w:numId="10">
    <w:abstractNumId w:val="18"/>
  </w:num>
  <w:num w:numId="11">
    <w:abstractNumId w:val="13"/>
  </w:num>
  <w:num w:numId="12">
    <w:abstractNumId w:val="4"/>
  </w:num>
  <w:num w:numId="13">
    <w:abstractNumId w:val="2"/>
  </w:num>
  <w:num w:numId="14">
    <w:abstractNumId w:val="21"/>
  </w:num>
  <w:num w:numId="15">
    <w:abstractNumId w:val="9"/>
  </w:num>
  <w:num w:numId="16">
    <w:abstractNumId w:val="10"/>
  </w:num>
  <w:num w:numId="17">
    <w:abstractNumId w:val="6"/>
  </w:num>
  <w:num w:numId="18">
    <w:abstractNumId w:val="14"/>
  </w:num>
  <w:num w:numId="19">
    <w:abstractNumId w:val="0"/>
  </w:num>
  <w:num w:numId="20">
    <w:abstractNumId w:val="8"/>
  </w:num>
  <w:num w:numId="21">
    <w:abstractNumId w:val="5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8B"/>
    <w:rsid w:val="00007283"/>
    <w:rsid w:val="000265A1"/>
    <w:rsid w:val="00085D07"/>
    <w:rsid w:val="000B4F3A"/>
    <w:rsid w:val="000E25CA"/>
    <w:rsid w:val="00111731"/>
    <w:rsid w:val="001353D7"/>
    <w:rsid w:val="00153B92"/>
    <w:rsid w:val="0016395E"/>
    <w:rsid w:val="00191501"/>
    <w:rsid w:val="001F7DE0"/>
    <w:rsid w:val="0021058B"/>
    <w:rsid w:val="00252EFE"/>
    <w:rsid w:val="002E46C3"/>
    <w:rsid w:val="00301113"/>
    <w:rsid w:val="003717E8"/>
    <w:rsid w:val="0040441D"/>
    <w:rsid w:val="00417E4B"/>
    <w:rsid w:val="0046618E"/>
    <w:rsid w:val="004A00CE"/>
    <w:rsid w:val="004D431F"/>
    <w:rsid w:val="005832E0"/>
    <w:rsid w:val="0060706C"/>
    <w:rsid w:val="0064612E"/>
    <w:rsid w:val="006609CB"/>
    <w:rsid w:val="00672C69"/>
    <w:rsid w:val="00677FC9"/>
    <w:rsid w:val="00684065"/>
    <w:rsid w:val="006959BE"/>
    <w:rsid w:val="006E04DA"/>
    <w:rsid w:val="007204CE"/>
    <w:rsid w:val="007300F5"/>
    <w:rsid w:val="00744A46"/>
    <w:rsid w:val="00771938"/>
    <w:rsid w:val="007A1168"/>
    <w:rsid w:val="007A45FD"/>
    <w:rsid w:val="007B296B"/>
    <w:rsid w:val="007C343E"/>
    <w:rsid w:val="007D42CA"/>
    <w:rsid w:val="007E6AB0"/>
    <w:rsid w:val="007F12B5"/>
    <w:rsid w:val="007F3EC9"/>
    <w:rsid w:val="008466C2"/>
    <w:rsid w:val="00860752"/>
    <w:rsid w:val="00875356"/>
    <w:rsid w:val="0088426D"/>
    <w:rsid w:val="00891382"/>
    <w:rsid w:val="008D5CC0"/>
    <w:rsid w:val="008F7794"/>
    <w:rsid w:val="009006EF"/>
    <w:rsid w:val="00905FEC"/>
    <w:rsid w:val="00906565"/>
    <w:rsid w:val="00912803"/>
    <w:rsid w:val="009200E3"/>
    <w:rsid w:val="00975AD2"/>
    <w:rsid w:val="0098519A"/>
    <w:rsid w:val="009B7793"/>
    <w:rsid w:val="009C1219"/>
    <w:rsid w:val="009E7806"/>
    <w:rsid w:val="009F79A9"/>
    <w:rsid w:val="00A3405C"/>
    <w:rsid w:val="00A8706D"/>
    <w:rsid w:val="00AB426C"/>
    <w:rsid w:val="00AB53B4"/>
    <w:rsid w:val="00AF4771"/>
    <w:rsid w:val="00B05C82"/>
    <w:rsid w:val="00B07A5C"/>
    <w:rsid w:val="00B17138"/>
    <w:rsid w:val="00B41F78"/>
    <w:rsid w:val="00B559CA"/>
    <w:rsid w:val="00B564F3"/>
    <w:rsid w:val="00B612F4"/>
    <w:rsid w:val="00B62520"/>
    <w:rsid w:val="00BB58B2"/>
    <w:rsid w:val="00BB7DBA"/>
    <w:rsid w:val="00C00052"/>
    <w:rsid w:val="00C04650"/>
    <w:rsid w:val="00C726F8"/>
    <w:rsid w:val="00C9533F"/>
    <w:rsid w:val="00CB7F2F"/>
    <w:rsid w:val="00CC1503"/>
    <w:rsid w:val="00D01987"/>
    <w:rsid w:val="00D258E0"/>
    <w:rsid w:val="00D64905"/>
    <w:rsid w:val="00D67197"/>
    <w:rsid w:val="00D86D94"/>
    <w:rsid w:val="00E174F1"/>
    <w:rsid w:val="00E408B0"/>
    <w:rsid w:val="00E84544"/>
    <w:rsid w:val="00E8523E"/>
    <w:rsid w:val="00EB55FF"/>
    <w:rsid w:val="00EE496E"/>
    <w:rsid w:val="00F00701"/>
    <w:rsid w:val="00F22C91"/>
    <w:rsid w:val="00F52337"/>
    <w:rsid w:val="00F54460"/>
    <w:rsid w:val="00F95049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D4C746-9327-4081-B5BA-F0C0A0C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454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84544"/>
  </w:style>
  <w:style w:type="table" w:styleId="a5">
    <w:name w:val="Table Grid"/>
    <w:basedOn w:val="a1"/>
    <w:uiPriority w:val="39"/>
    <w:rsid w:val="00B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07A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07A5C"/>
    <w:rPr>
      <w:rFonts w:ascii="細明體" w:eastAsia="細明體" w:hAnsi="細明體" w:cs="Times New Roman"/>
      <w:kern w:val="0"/>
      <w:szCs w:val="24"/>
    </w:rPr>
  </w:style>
  <w:style w:type="table" w:styleId="-3">
    <w:name w:val="Light List Accent 3"/>
    <w:basedOn w:val="a1"/>
    <w:uiPriority w:val="61"/>
    <w:rsid w:val="00085D07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E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8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7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8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SYNNEX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2020-04-30T01:39:00Z</dcterms:created>
  <dcterms:modified xsi:type="dcterms:W3CDTF">2020-04-30T01:41:00Z</dcterms:modified>
</cp:coreProperties>
</file>