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AB" w:rsidRPr="00E41644" w:rsidRDefault="002C7AAB" w:rsidP="002C7AAB">
      <w:pPr>
        <w:spacing w:line="440" w:lineRule="exact"/>
        <w:ind w:rightChars="5" w:right="12"/>
        <w:rPr>
          <w:rFonts w:eastAsia="標楷體"/>
          <w:b/>
          <w:sz w:val="32"/>
          <w:szCs w:val="36"/>
        </w:rPr>
      </w:pPr>
      <w:bookmarkStart w:id="0" w:name="OLE_LINK22"/>
      <w:bookmarkStart w:id="1" w:name="OLE_LINK23"/>
      <w:bookmarkStart w:id="2" w:name="OLE_LINK24"/>
      <w:bookmarkStart w:id="3" w:name="_GoBack"/>
      <w:bookmarkEnd w:id="3"/>
      <w:r w:rsidRPr="00E41644">
        <w:rPr>
          <w:rFonts w:eastAsia="標楷體"/>
          <w:b/>
          <w:sz w:val="32"/>
          <w:szCs w:val="36"/>
        </w:rPr>
        <w:t>高雄醫學大學</w:t>
      </w:r>
      <w:r w:rsidRPr="00E41644">
        <w:rPr>
          <w:rFonts w:eastAsia="標楷體" w:hint="eastAsia"/>
          <w:b/>
          <w:sz w:val="32"/>
          <w:szCs w:val="36"/>
        </w:rPr>
        <w:t>校級研究中心收費研究平台收支管理</w:t>
      </w:r>
      <w:r w:rsidRPr="00E41644">
        <w:rPr>
          <w:rFonts w:eastAsia="標楷體"/>
          <w:b/>
          <w:bCs/>
          <w:sz w:val="32"/>
          <w:szCs w:val="32"/>
        </w:rPr>
        <w:t>辦法</w:t>
      </w:r>
    </w:p>
    <w:p w:rsidR="002C7AAB" w:rsidRPr="00E41644" w:rsidRDefault="002C7AAB" w:rsidP="00F605C7">
      <w:pPr>
        <w:tabs>
          <w:tab w:val="left" w:pos="5387"/>
        </w:tabs>
        <w:adjustRightInd/>
        <w:spacing w:line="240" w:lineRule="exact"/>
        <w:ind w:leftChars="2303" w:left="5527" w:rightChars="-53" w:right="-127"/>
        <w:rPr>
          <w:rFonts w:eastAsia="標楷體"/>
          <w:sz w:val="20"/>
        </w:rPr>
      </w:pPr>
    </w:p>
    <w:p w:rsidR="002C7AAB" w:rsidRPr="00F605C7" w:rsidRDefault="00E56213" w:rsidP="00F605C7">
      <w:pPr>
        <w:tabs>
          <w:tab w:val="left" w:pos="5387"/>
        </w:tabs>
        <w:adjustRightInd/>
        <w:spacing w:line="240" w:lineRule="exact"/>
        <w:ind w:leftChars="2303" w:left="5527" w:rightChars="-53" w:right="-127"/>
        <w:rPr>
          <w:rFonts w:eastAsia="標楷體"/>
          <w:sz w:val="20"/>
        </w:rPr>
      </w:pPr>
      <w:r w:rsidRPr="00F605C7">
        <w:rPr>
          <w:rFonts w:eastAsia="標楷體"/>
          <w:sz w:val="20"/>
        </w:rPr>
        <w:t>10</w:t>
      </w:r>
      <w:r w:rsidR="00505DF7" w:rsidRPr="00F605C7">
        <w:rPr>
          <w:rFonts w:eastAsia="標楷體"/>
          <w:sz w:val="20"/>
        </w:rPr>
        <w:t>9</w:t>
      </w:r>
      <w:r w:rsidRPr="00F605C7">
        <w:rPr>
          <w:rFonts w:eastAsia="標楷體"/>
          <w:sz w:val="20"/>
        </w:rPr>
        <w:t>.01.09  108</w:t>
      </w:r>
      <w:r w:rsidRPr="00F605C7">
        <w:rPr>
          <w:rFonts w:eastAsia="標楷體"/>
          <w:sz w:val="20"/>
        </w:rPr>
        <w:t>學年度第</w:t>
      </w:r>
      <w:r w:rsidRPr="00F605C7">
        <w:rPr>
          <w:rFonts w:eastAsia="標楷體"/>
          <w:sz w:val="20"/>
        </w:rPr>
        <w:t>6</w:t>
      </w:r>
      <w:r w:rsidRPr="00F605C7">
        <w:rPr>
          <w:rFonts w:eastAsia="標楷體"/>
          <w:sz w:val="20"/>
        </w:rPr>
        <w:t>次行政會議通過</w:t>
      </w:r>
    </w:p>
    <w:p w:rsidR="00F605C7" w:rsidRPr="00F605C7" w:rsidRDefault="00F605C7" w:rsidP="00F605C7">
      <w:pPr>
        <w:tabs>
          <w:tab w:val="left" w:pos="5387"/>
        </w:tabs>
        <w:adjustRightInd/>
        <w:spacing w:line="240" w:lineRule="exact"/>
        <w:ind w:leftChars="2303" w:left="5527" w:rightChars="-53" w:right="-127"/>
        <w:rPr>
          <w:rFonts w:eastAsia="標楷體"/>
          <w:sz w:val="20"/>
        </w:rPr>
      </w:pPr>
      <w:r w:rsidRPr="00F605C7">
        <w:rPr>
          <w:rFonts w:eastAsia="標楷體"/>
          <w:sz w:val="20"/>
        </w:rPr>
        <w:t>109.02.0</w:t>
      </w:r>
      <w:r w:rsidR="00FE5CF5">
        <w:rPr>
          <w:rFonts w:eastAsia="標楷體" w:hint="eastAsia"/>
          <w:sz w:val="20"/>
        </w:rPr>
        <w:t>6</w:t>
      </w:r>
      <w:r w:rsidRPr="00F605C7">
        <w:rPr>
          <w:rFonts w:eastAsia="標楷體"/>
          <w:sz w:val="20"/>
        </w:rPr>
        <w:t xml:space="preserve">　高醫研發字第</w:t>
      </w:r>
      <w:r w:rsidRPr="00F605C7">
        <w:rPr>
          <w:rFonts w:eastAsia="標楷體"/>
          <w:sz w:val="20"/>
        </w:rPr>
        <w:t>1091100201</w:t>
      </w:r>
      <w:r w:rsidRPr="00F605C7">
        <w:rPr>
          <w:rFonts w:eastAsia="標楷體"/>
          <w:sz w:val="20"/>
        </w:rPr>
        <w:t>號函公布</w:t>
      </w:r>
    </w:p>
    <w:p w:rsidR="002C7AAB" w:rsidRPr="00E41644" w:rsidRDefault="002C7AAB" w:rsidP="00F605C7">
      <w:pPr>
        <w:tabs>
          <w:tab w:val="left" w:pos="5387"/>
        </w:tabs>
        <w:adjustRightInd/>
        <w:spacing w:line="240" w:lineRule="exact"/>
        <w:ind w:leftChars="2303" w:left="5527" w:rightChars="-53" w:right="-127"/>
        <w:rPr>
          <w:rFonts w:eastAsia="標楷體"/>
          <w:sz w:val="2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134"/>
        <w:gridCol w:w="8505"/>
      </w:tblGrid>
      <w:tr w:rsidR="00E41644" w:rsidRPr="00E41644" w:rsidTr="00576C1F">
        <w:trPr>
          <w:trHeight w:val="20"/>
          <w:jc w:val="center"/>
        </w:trPr>
        <w:tc>
          <w:tcPr>
            <w:tcW w:w="1134" w:type="dxa"/>
          </w:tcPr>
          <w:bookmarkEnd w:id="0"/>
          <w:bookmarkEnd w:id="1"/>
          <w:bookmarkEnd w:id="2"/>
          <w:p w:rsidR="002C7AAB" w:rsidRPr="00E41644" w:rsidRDefault="002C7AAB" w:rsidP="00432552">
            <w:pPr>
              <w:pStyle w:val="a9"/>
              <w:spacing w:line="400" w:lineRule="exact"/>
              <w:ind w:leftChars="0" w:left="0"/>
              <w:rPr>
                <w:rFonts w:eastAsia="標楷體"/>
              </w:rPr>
            </w:pPr>
            <w:r w:rsidRPr="00E41644">
              <w:rPr>
                <w:rFonts w:eastAsia="標楷體"/>
              </w:rPr>
              <w:t>第</w:t>
            </w:r>
            <w:r w:rsidRPr="00E41644">
              <w:rPr>
                <w:rFonts w:eastAsia="標楷體" w:hint="eastAsia"/>
              </w:rPr>
              <w:t>1</w:t>
            </w:r>
            <w:r w:rsidRPr="00E41644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2C7AAB" w:rsidRPr="00E41644" w:rsidRDefault="002C7AAB" w:rsidP="00432552">
            <w:pPr>
              <w:pStyle w:val="a9"/>
              <w:spacing w:line="400" w:lineRule="exact"/>
              <w:ind w:leftChars="10" w:left="24" w:rightChars="17" w:right="41" w:firstLine="2"/>
              <w:jc w:val="both"/>
              <w:rPr>
                <w:rFonts w:eastAsia="標楷體"/>
              </w:rPr>
            </w:pPr>
            <w:r w:rsidRPr="00E41644">
              <w:rPr>
                <w:rFonts w:eastAsia="標楷體" w:hint="eastAsia"/>
                <w:szCs w:val="24"/>
              </w:rPr>
              <w:t>高雄醫學大學</w:t>
            </w:r>
            <w:r w:rsidRPr="00E41644">
              <w:rPr>
                <w:rFonts w:eastAsia="標楷體" w:hint="eastAsia"/>
                <w:szCs w:val="24"/>
              </w:rPr>
              <w:t>(</w:t>
            </w:r>
            <w:r w:rsidRPr="00E41644">
              <w:rPr>
                <w:rFonts w:eastAsia="標楷體" w:hint="eastAsia"/>
                <w:szCs w:val="24"/>
              </w:rPr>
              <w:t>以下簡稱本校</w:t>
            </w:r>
            <w:r w:rsidRPr="00E41644">
              <w:rPr>
                <w:rFonts w:eastAsia="標楷體" w:hint="eastAsia"/>
                <w:szCs w:val="24"/>
              </w:rPr>
              <w:t>)</w:t>
            </w:r>
            <w:r w:rsidRPr="00E41644">
              <w:rPr>
                <w:rFonts w:eastAsia="標楷體" w:hint="eastAsia"/>
                <w:szCs w:val="24"/>
              </w:rPr>
              <w:t>為使校級研究中心</w:t>
            </w:r>
            <w:r w:rsidRPr="00E41644">
              <w:rPr>
                <w:rFonts w:eastAsia="標楷體" w:hint="eastAsia"/>
                <w:szCs w:val="24"/>
              </w:rPr>
              <w:t>(</w:t>
            </w:r>
            <w:r w:rsidRPr="00E41644">
              <w:rPr>
                <w:rFonts w:eastAsia="標楷體" w:hint="eastAsia"/>
                <w:szCs w:val="24"/>
              </w:rPr>
              <w:t>以下簡稱中心</w:t>
            </w:r>
            <w:r w:rsidRPr="00E41644">
              <w:rPr>
                <w:rFonts w:eastAsia="標楷體" w:hint="eastAsia"/>
                <w:szCs w:val="24"/>
              </w:rPr>
              <w:t>)</w:t>
            </w:r>
            <w:r w:rsidRPr="00E41644">
              <w:rPr>
                <w:rFonts w:eastAsia="標楷體" w:hint="eastAsia"/>
                <w:szCs w:val="24"/>
              </w:rPr>
              <w:t>收費平台服務收入得以有效管理及運用，特</w:t>
            </w:r>
            <w:r w:rsidRPr="00E41644">
              <w:rPr>
                <w:rFonts w:eastAsia="標楷體"/>
                <w:szCs w:val="24"/>
              </w:rPr>
              <w:t>訂定本辦法。</w:t>
            </w:r>
          </w:p>
        </w:tc>
      </w:tr>
      <w:tr w:rsidR="00E41644" w:rsidRPr="00E41644" w:rsidTr="00576C1F">
        <w:trPr>
          <w:trHeight w:val="20"/>
          <w:jc w:val="center"/>
        </w:trPr>
        <w:tc>
          <w:tcPr>
            <w:tcW w:w="1134" w:type="dxa"/>
          </w:tcPr>
          <w:p w:rsidR="002C7AAB" w:rsidRPr="00E41644" w:rsidRDefault="002C7AAB" w:rsidP="00432552">
            <w:pPr>
              <w:pStyle w:val="a9"/>
              <w:spacing w:line="400" w:lineRule="exact"/>
              <w:ind w:leftChars="0" w:left="0"/>
              <w:rPr>
                <w:rFonts w:eastAsia="標楷體"/>
              </w:rPr>
            </w:pPr>
            <w:r w:rsidRPr="00E41644">
              <w:rPr>
                <w:rFonts w:eastAsia="標楷體"/>
              </w:rPr>
              <w:t>第</w:t>
            </w:r>
            <w:r w:rsidRPr="00E41644">
              <w:rPr>
                <w:rFonts w:eastAsia="標楷體" w:hint="eastAsia"/>
              </w:rPr>
              <w:t>2</w:t>
            </w:r>
            <w:r w:rsidRPr="00E41644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2C7AAB" w:rsidRPr="00E41644" w:rsidRDefault="002C7AAB" w:rsidP="00432552">
            <w:pPr>
              <w:pStyle w:val="a9"/>
              <w:spacing w:line="400" w:lineRule="exact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E41644">
              <w:rPr>
                <w:rFonts w:eastAsia="標楷體" w:hint="eastAsia"/>
                <w:szCs w:val="24"/>
              </w:rPr>
              <w:t>本辦法所稱中心收費研究平台</w:t>
            </w:r>
            <w:r w:rsidRPr="00E41644">
              <w:rPr>
                <w:rFonts w:eastAsia="標楷體" w:hint="eastAsia"/>
                <w:szCs w:val="24"/>
              </w:rPr>
              <w:t>(</w:t>
            </w:r>
            <w:r w:rsidRPr="00E41644">
              <w:rPr>
                <w:rFonts w:eastAsia="標楷體" w:hint="eastAsia"/>
                <w:szCs w:val="24"/>
              </w:rPr>
              <w:t>以下簡稱研究平台</w:t>
            </w:r>
            <w:r w:rsidRPr="00E41644">
              <w:rPr>
                <w:rFonts w:eastAsia="標楷體" w:hint="eastAsia"/>
                <w:szCs w:val="24"/>
              </w:rPr>
              <w:t>)</w:t>
            </w:r>
            <w:r w:rsidRPr="00E41644">
              <w:rPr>
                <w:rFonts w:eastAsia="標楷體" w:hint="eastAsia"/>
                <w:szCs w:val="24"/>
              </w:rPr>
              <w:t>，係指各中心對外開放並酌收費用之研究平台。</w:t>
            </w:r>
          </w:p>
          <w:p w:rsidR="002C7AAB" w:rsidRPr="00E41644" w:rsidRDefault="002C7AAB" w:rsidP="00432552">
            <w:pPr>
              <w:pStyle w:val="a9"/>
              <w:spacing w:line="400" w:lineRule="exact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E41644">
              <w:rPr>
                <w:rFonts w:eastAsia="標楷體" w:hint="eastAsia"/>
                <w:szCs w:val="24"/>
              </w:rPr>
              <w:t>收費對象為研究平台所屬中心以外之人員。</w:t>
            </w:r>
          </w:p>
        </w:tc>
      </w:tr>
      <w:tr w:rsidR="00E41644" w:rsidRPr="00E41644" w:rsidTr="00576C1F">
        <w:trPr>
          <w:trHeight w:val="20"/>
          <w:jc w:val="center"/>
        </w:trPr>
        <w:tc>
          <w:tcPr>
            <w:tcW w:w="1134" w:type="dxa"/>
          </w:tcPr>
          <w:p w:rsidR="002C7AAB" w:rsidRPr="00E41644" w:rsidRDefault="002C7AAB" w:rsidP="00432552">
            <w:pPr>
              <w:pStyle w:val="a9"/>
              <w:spacing w:line="400" w:lineRule="exact"/>
              <w:ind w:leftChars="0" w:left="0"/>
              <w:rPr>
                <w:rFonts w:eastAsia="標楷體"/>
              </w:rPr>
            </w:pPr>
            <w:r w:rsidRPr="00E41644">
              <w:rPr>
                <w:rFonts w:eastAsia="標楷體"/>
              </w:rPr>
              <w:t>第</w:t>
            </w:r>
            <w:r w:rsidRPr="00E41644">
              <w:rPr>
                <w:rFonts w:eastAsia="標楷體" w:hint="eastAsia"/>
              </w:rPr>
              <w:t>3</w:t>
            </w:r>
            <w:r w:rsidRPr="00E41644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2C7AAB" w:rsidRPr="00E41644" w:rsidRDefault="002C7AAB" w:rsidP="00432552">
            <w:pPr>
              <w:adjustRightInd/>
              <w:spacing w:line="400" w:lineRule="exact"/>
              <w:ind w:leftChars="10" w:left="24" w:rightChars="17" w:right="41" w:firstLineChars="10" w:firstLine="24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E41644">
              <w:rPr>
                <w:rFonts w:eastAsia="標楷體"/>
                <w:szCs w:val="24"/>
              </w:rPr>
              <w:t>研究平台</w:t>
            </w:r>
            <w:r w:rsidRPr="00E41644">
              <w:rPr>
                <w:rFonts w:eastAsia="標楷體"/>
                <w:kern w:val="2"/>
                <w:szCs w:val="24"/>
              </w:rPr>
              <w:t>收費項目及標準，經研究發展處召開之校級研究中心會議審核通過，並簽請校長同意後公告</w:t>
            </w:r>
            <w:r w:rsidRPr="00E41644">
              <w:rPr>
                <w:rFonts w:eastAsia="標楷體" w:hint="eastAsia"/>
                <w:kern w:val="2"/>
                <w:szCs w:val="24"/>
              </w:rPr>
              <w:t>實施，</w:t>
            </w:r>
            <w:r w:rsidRPr="00E41644">
              <w:rPr>
                <w:rFonts w:eastAsia="標楷體" w:hint="eastAsia"/>
                <w:szCs w:val="24"/>
              </w:rPr>
              <w:t>修正或</w:t>
            </w:r>
            <w:r w:rsidRPr="00E41644">
              <w:rPr>
                <w:rFonts w:eastAsia="標楷體"/>
                <w:szCs w:val="24"/>
              </w:rPr>
              <w:t>停止</w:t>
            </w:r>
            <w:r w:rsidRPr="00E41644">
              <w:rPr>
                <w:rFonts w:eastAsia="標楷體" w:hint="eastAsia"/>
                <w:szCs w:val="24"/>
              </w:rPr>
              <w:t>收費</w:t>
            </w:r>
            <w:r w:rsidRPr="00E41644">
              <w:rPr>
                <w:rFonts w:eastAsia="標楷體"/>
                <w:szCs w:val="24"/>
              </w:rPr>
              <w:t>時亦同</w:t>
            </w:r>
            <w:r w:rsidRPr="00E41644">
              <w:rPr>
                <w:rFonts w:eastAsia="標楷體" w:hint="eastAsia"/>
                <w:szCs w:val="24"/>
              </w:rPr>
              <w:t>。</w:t>
            </w:r>
            <w:r w:rsidRPr="00E41644">
              <w:rPr>
                <w:rFonts w:eastAsia="標楷體"/>
                <w:szCs w:val="24"/>
              </w:rPr>
              <w:t>各中心未經核准不得擅自對外收費</w:t>
            </w:r>
            <w:r w:rsidRPr="00E41644">
              <w:rPr>
                <w:rFonts w:eastAsia="標楷體"/>
                <w:kern w:val="2"/>
                <w:szCs w:val="24"/>
              </w:rPr>
              <w:t>。</w:t>
            </w:r>
          </w:p>
        </w:tc>
      </w:tr>
      <w:tr w:rsidR="00E41644" w:rsidRPr="00E41644" w:rsidTr="00576C1F">
        <w:trPr>
          <w:trHeight w:val="624"/>
          <w:jc w:val="center"/>
        </w:trPr>
        <w:tc>
          <w:tcPr>
            <w:tcW w:w="1134" w:type="dxa"/>
          </w:tcPr>
          <w:p w:rsidR="002C7AAB" w:rsidRPr="00E41644" w:rsidRDefault="002C7AAB" w:rsidP="00432552">
            <w:pPr>
              <w:pStyle w:val="a9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E41644">
              <w:rPr>
                <w:rFonts w:eastAsia="標楷體" w:hAnsi="標楷體"/>
              </w:rPr>
              <w:t>第</w:t>
            </w:r>
            <w:r w:rsidRPr="00E41644">
              <w:rPr>
                <w:rFonts w:eastAsia="標楷體" w:hAnsi="標楷體" w:hint="eastAsia"/>
              </w:rPr>
              <w:t>4</w:t>
            </w:r>
            <w:r w:rsidRPr="00E41644">
              <w:rPr>
                <w:rFonts w:eastAsia="標楷體" w:hAnsi="標楷體"/>
              </w:rPr>
              <w:t>條</w:t>
            </w:r>
          </w:p>
        </w:tc>
        <w:tc>
          <w:tcPr>
            <w:tcW w:w="8505" w:type="dxa"/>
            <w:vAlign w:val="center"/>
          </w:tcPr>
          <w:p w:rsidR="002C7AAB" w:rsidRPr="00E41644" w:rsidRDefault="002C7AAB" w:rsidP="00432552">
            <w:pPr>
              <w:pStyle w:val="a9"/>
              <w:spacing w:line="400" w:lineRule="exact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E41644">
              <w:rPr>
                <w:rFonts w:eastAsia="標楷體" w:hint="eastAsia"/>
                <w:szCs w:val="24"/>
              </w:rPr>
              <w:t>研究平台所屬儀器應由各中心設置儀器專責教師及設備管理人。儀器專責教師由本校專任教師擔任，提供實驗設計、問題諮詢等服務。設備管理人得由中心研究人員擔任，負責教學操作、維護管理等事宜。</w:t>
            </w:r>
          </w:p>
        </w:tc>
      </w:tr>
      <w:tr w:rsidR="00E41644" w:rsidRPr="00E41644" w:rsidTr="00576C1F">
        <w:trPr>
          <w:trHeight w:val="20"/>
          <w:jc w:val="center"/>
        </w:trPr>
        <w:tc>
          <w:tcPr>
            <w:tcW w:w="1134" w:type="dxa"/>
          </w:tcPr>
          <w:p w:rsidR="002C7AAB" w:rsidRPr="00E41644" w:rsidRDefault="002C7AAB" w:rsidP="00432552">
            <w:pPr>
              <w:pStyle w:val="a9"/>
              <w:spacing w:line="400" w:lineRule="exact"/>
              <w:ind w:leftChars="0" w:left="0"/>
              <w:rPr>
                <w:rFonts w:eastAsia="標楷體"/>
              </w:rPr>
            </w:pPr>
            <w:r w:rsidRPr="00E41644">
              <w:rPr>
                <w:rFonts w:eastAsia="標楷體" w:hAnsi="標楷體"/>
              </w:rPr>
              <w:t>第</w:t>
            </w:r>
            <w:r w:rsidRPr="00E41644">
              <w:rPr>
                <w:rFonts w:eastAsia="標楷體" w:hAnsi="標楷體" w:hint="eastAsia"/>
              </w:rPr>
              <w:t>5</w:t>
            </w:r>
            <w:r w:rsidRPr="00E41644">
              <w:rPr>
                <w:rFonts w:eastAsia="標楷體" w:hAnsi="標楷體"/>
              </w:rPr>
              <w:t>條</w:t>
            </w:r>
          </w:p>
        </w:tc>
        <w:tc>
          <w:tcPr>
            <w:tcW w:w="8505" w:type="dxa"/>
          </w:tcPr>
          <w:p w:rsidR="002C7AAB" w:rsidRPr="00E41644" w:rsidRDefault="002C7AAB" w:rsidP="00432552">
            <w:pPr>
              <w:spacing w:line="400" w:lineRule="exact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E41644">
              <w:rPr>
                <w:rFonts w:eastAsia="標楷體" w:hint="eastAsia"/>
                <w:szCs w:val="24"/>
              </w:rPr>
              <w:t>經費運用：</w:t>
            </w:r>
          </w:p>
          <w:p w:rsidR="002C7AAB" w:rsidRPr="00E41644" w:rsidRDefault="002C7AAB" w:rsidP="00432552">
            <w:pPr>
              <w:pStyle w:val="a9"/>
              <w:numPr>
                <w:ilvl w:val="0"/>
                <w:numId w:val="9"/>
              </w:numPr>
              <w:spacing w:line="400" w:lineRule="exact"/>
              <w:ind w:leftChars="0" w:rightChars="17" w:right="41"/>
              <w:jc w:val="both"/>
              <w:rPr>
                <w:rFonts w:eastAsia="標楷體"/>
                <w:szCs w:val="24"/>
              </w:rPr>
            </w:pPr>
            <w:r w:rsidRPr="00E41644">
              <w:rPr>
                <w:rFonts w:eastAsia="標楷體"/>
                <w:szCs w:val="24"/>
              </w:rPr>
              <w:t>研究平台成本及收費</w:t>
            </w:r>
            <w:r w:rsidRPr="00E41644">
              <w:rPr>
                <w:rFonts w:eastAsia="標楷體" w:hint="eastAsia"/>
                <w:szCs w:val="24"/>
              </w:rPr>
              <w:t>項目</w:t>
            </w:r>
            <w:r w:rsidRPr="00E41644">
              <w:rPr>
                <w:rFonts w:eastAsia="標楷體"/>
                <w:szCs w:val="24"/>
              </w:rPr>
              <w:t>依研究發展處擬定之「校級研究中心收費研究平台新增</w:t>
            </w:r>
            <w:r w:rsidRPr="00E41644">
              <w:rPr>
                <w:rFonts w:eastAsia="標楷體"/>
                <w:szCs w:val="24"/>
              </w:rPr>
              <w:t>(</w:t>
            </w:r>
            <w:r w:rsidRPr="00E41644">
              <w:rPr>
                <w:rFonts w:eastAsia="標楷體"/>
                <w:szCs w:val="24"/>
              </w:rPr>
              <w:t>修正</w:t>
            </w:r>
            <w:r w:rsidRPr="00E41644">
              <w:rPr>
                <w:rFonts w:eastAsia="標楷體"/>
                <w:szCs w:val="24"/>
              </w:rPr>
              <w:t>)</w:t>
            </w:r>
            <w:r w:rsidRPr="00E41644">
              <w:rPr>
                <w:rFonts w:eastAsia="標楷體"/>
                <w:szCs w:val="24"/>
              </w:rPr>
              <w:t>收費項目成本審核表」</w:t>
            </w:r>
            <w:r w:rsidRPr="00E41644">
              <w:rPr>
                <w:rFonts w:eastAsia="標楷體" w:hint="eastAsia"/>
                <w:szCs w:val="24"/>
              </w:rPr>
              <w:t>(</w:t>
            </w:r>
            <w:r w:rsidRPr="00E41644">
              <w:rPr>
                <w:rFonts w:eastAsia="標楷體" w:hint="eastAsia"/>
                <w:szCs w:val="24"/>
              </w:rPr>
              <w:t>以下簡稱審核表</w:t>
            </w:r>
            <w:r w:rsidRPr="00E41644">
              <w:rPr>
                <w:rFonts w:eastAsia="標楷體" w:hint="eastAsia"/>
                <w:szCs w:val="24"/>
              </w:rPr>
              <w:t>)</w:t>
            </w:r>
            <w:r w:rsidRPr="00E41644">
              <w:rPr>
                <w:rFonts w:eastAsia="標楷體"/>
                <w:szCs w:val="24"/>
              </w:rPr>
              <w:t>辦理</w:t>
            </w:r>
            <w:r w:rsidRPr="00E41644">
              <w:rPr>
                <w:rFonts w:eastAsia="標楷體" w:hint="eastAsia"/>
                <w:szCs w:val="24"/>
              </w:rPr>
              <w:t>。</w:t>
            </w:r>
            <w:r w:rsidRPr="00E41644">
              <w:rPr>
                <w:rFonts w:eastAsia="標楷體"/>
                <w:szCs w:val="24"/>
              </w:rPr>
              <w:t>研究平台</w:t>
            </w:r>
            <w:r w:rsidRPr="00E41644">
              <w:rPr>
                <w:rFonts w:eastAsia="標楷體" w:hint="eastAsia"/>
                <w:szCs w:val="24"/>
              </w:rPr>
              <w:t>收入</w:t>
            </w:r>
            <w:r w:rsidRPr="00E41644">
              <w:rPr>
                <w:rFonts w:eastAsia="標楷體"/>
                <w:szCs w:val="24"/>
              </w:rPr>
              <w:t>扣除表列成本後之盈餘，其中</w:t>
            </w:r>
            <w:r w:rsidRPr="00E41644">
              <w:rPr>
                <w:rFonts w:eastAsia="標楷體"/>
                <w:szCs w:val="24"/>
              </w:rPr>
              <w:t>40%</w:t>
            </w:r>
            <w:r w:rsidRPr="00E41644">
              <w:rPr>
                <w:rFonts w:eastAsia="標楷體"/>
                <w:szCs w:val="24"/>
              </w:rPr>
              <w:t>歸入學校，其餘</w:t>
            </w:r>
            <w:r w:rsidRPr="00E41644">
              <w:rPr>
                <w:rFonts w:eastAsia="標楷體"/>
                <w:szCs w:val="24"/>
              </w:rPr>
              <w:t>60%</w:t>
            </w:r>
            <w:r w:rsidRPr="00E41644">
              <w:rPr>
                <w:rFonts w:eastAsia="標楷體"/>
                <w:szCs w:val="24"/>
              </w:rPr>
              <w:t>得由平台所屬中心支配使用。</w:t>
            </w:r>
          </w:p>
          <w:p w:rsidR="002C7AAB" w:rsidRPr="00E41644" w:rsidRDefault="002C7AAB" w:rsidP="00432552">
            <w:pPr>
              <w:pStyle w:val="a9"/>
              <w:numPr>
                <w:ilvl w:val="0"/>
                <w:numId w:val="9"/>
              </w:numPr>
              <w:spacing w:line="400" w:lineRule="exact"/>
              <w:ind w:leftChars="0" w:rightChars="17" w:right="41"/>
              <w:jc w:val="both"/>
              <w:rPr>
                <w:rFonts w:eastAsia="標楷體"/>
                <w:bCs/>
                <w:kern w:val="2"/>
                <w:szCs w:val="24"/>
              </w:rPr>
            </w:pPr>
            <w:r w:rsidRPr="00E41644">
              <w:rPr>
                <w:rFonts w:eastAsia="標楷體"/>
                <w:bCs/>
                <w:kern w:val="2"/>
                <w:szCs w:val="24"/>
              </w:rPr>
              <w:t>每學年</w:t>
            </w:r>
            <w:r w:rsidRPr="00E41644">
              <w:rPr>
                <w:rFonts w:eastAsia="標楷體"/>
                <w:szCs w:val="24"/>
              </w:rPr>
              <w:t>研究平台收費</w:t>
            </w:r>
            <w:r w:rsidRPr="00E41644">
              <w:rPr>
                <w:rFonts w:eastAsia="標楷體"/>
                <w:bCs/>
                <w:kern w:val="2"/>
                <w:szCs w:val="24"/>
              </w:rPr>
              <w:t>報表由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總務處</w:t>
            </w:r>
            <w:r w:rsidRPr="00E41644">
              <w:rPr>
                <w:rFonts w:eastAsia="標楷體"/>
                <w:bCs/>
                <w:kern w:val="2"/>
                <w:szCs w:val="24"/>
              </w:rPr>
              <w:t>出納組提供，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經</w:t>
            </w:r>
            <w:r w:rsidRPr="00E41644">
              <w:rPr>
                <w:rFonts w:eastAsia="標楷體"/>
                <w:bCs/>
                <w:kern w:val="2"/>
                <w:szCs w:val="24"/>
              </w:rPr>
              <w:t>研究發展處與各中心核對無誤，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經計算研究平台之盈餘</w:t>
            </w:r>
            <w:r w:rsidRPr="00E41644">
              <w:rPr>
                <w:rFonts w:eastAsia="標楷體"/>
                <w:bCs/>
                <w:kern w:val="2"/>
                <w:szCs w:val="24"/>
              </w:rPr>
              <w:t>簽請校長核准後，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屬盈餘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60%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部分</w:t>
            </w:r>
            <w:r w:rsidRPr="00E41644">
              <w:rPr>
                <w:rFonts w:eastAsia="標楷體"/>
                <w:bCs/>
                <w:kern w:val="2"/>
                <w:szCs w:val="24"/>
              </w:rPr>
              <w:t>由平台所屬中心編列於下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一</w:t>
            </w:r>
            <w:r w:rsidRPr="00E41644">
              <w:rPr>
                <w:rFonts w:eastAsia="標楷體"/>
                <w:bCs/>
                <w:kern w:val="2"/>
                <w:szCs w:val="24"/>
              </w:rPr>
              <w:t>年度預算，當年度</w:t>
            </w:r>
            <w:r w:rsidRPr="00E41644">
              <w:rPr>
                <w:rFonts w:eastAsia="標楷體"/>
                <w:szCs w:val="24"/>
              </w:rPr>
              <w:t>未使用預算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並得於下一年度繼續編列預算後使用</w:t>
            </w:r>
            <w:r w:rsidRPr="00E41644">
              <w:rPr>
                <w:rFonts w:eastAsia="標楷體"/>
                <w:bCs/>
                <w:kern w:val="2"/>
                <w:szCs w:val="24"/>
              </w:rPr>
              <w:t>。</w:t>
            </w:r>
          </w:p>
          <w:p w:rsidR="002C7AAB" w:rsidRPr="00E41644" w:rsidRDefault="002C7AAB" w:rsidP="00432552">
            <w:pPr>
              <w:pStyle w:val="a9"/>
              <w:numPr>
                <w:ilvl w:val="0"/>
                <w:numId w:val="9"/>
              </w:numPr>
              <w:spacing w:line="400" w:lineRule="exact"/>
              <w:ind w:leftChars="0" w:rightChars="17" w:right="41"/>
              <w:jc w:val="both"/>
              <w:rPr>
                <w:rFonts w:eastAsia="標楷體"/>
                <w:bCs/>
                <w:kern w:val="2"/>
                <w:szCs w:val="24"/>
              </w:rPr>
            </w:pPr>
            <w:r w:rsidRPr="00E41644">
              <w:rPr>
                <w:rFonts w:eastAsia="標楷體" w:hint="eastAsia"/>
                <w:bCs/>
                <w:kern w:val="2"/>
                <w:szCs w:val="24"/>
              </w:rPr>
              <w:t>前款經費</w:t>
            </w:r>
            <w:r w:rsidRPr="00E41644">
              <w:rPr>
                <w:rFonts w:eastAsia="標楷體"/>
                <w:szCs w:val="24"/>
              </w:rPr>
              <w:t>各中心</w:t>
            </w:r>
            <w:r w:rsidRPr="00E41644">
              <w:rPr>
                <w:rFonts w:eastAsia="標楷體" w:hint="eastAsia"/>
                <w:szCs w:val="24"/>
              </w:rPr>
              <w:t>得</w:t>
            </w:r>
            <w:r w:rsidRPr="00E41644">
              <w:rPr>
                <w:rFonts w:eastAsia="標楷體"/>
                <w:bCs/>
                <w:kern w:val="2"/>
                <w:szCs w:val="24"/>
              </w:rPr>
              <w:t>編列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其</w:t>
            </w:r>
            <w:r w:rsidRPr="00E41644">
              <w:rPr>
                <w:rFonts w:eastAsia="標楷體"/>
                <w:bCs/>
                <w:kern w:val="2"/>
                <w:szCs w:val="24"/>
              </w:rPr>
              <w:t>運作所需之人事費、業務費及設備費等支出。</w:t>
            </w:r>
          </w:p>
          <w:p w:rsidR="002C7AAB" w:rsidRPr="00E41644" w:rsidRDefault="002C7AAB" w:rsidP="00432552">
            <w:pPr>
              <w:pStyle w:val="a9"/>
              <w:numPr>
                <w:ilvl w:val="0"/>
                <w:numId w:val="9"/>
              </w:numPr>
              <w:spacing w:line="400" w:lineRule="exact"/>
              <w:ind w:leftChars="0" w:rightChars="17" w:right="41"/>
              <w:jc w:val="both"/>
              <w:rPr>
                <w:rFonts w:eastAsia="標楷體"/>
                <w:bCs/>
                <w:kern w:val="2"/>
                <w:szCs w:val="24"/>
              </w:rPr>
            </w:pPr>
            <w:r w:rsidRPr="00E41644">
              <w:rPr>
                <w:rFonts w:eastAsia="標楷體"/>
                <w:bCs/>
                <w:kern w:val="2"/>
                <w:szCs w:val="24"/>
              </w:rPr>
              <w:t>停止運作之</w:t>
            </w:r>
            <w:r w:rsidRPr="00E41644">
              <w:rPr>
                <w:rFonts w:eastAsia="標楷體"/>
                <w:szCs w:val="24"/>
              </w:rPr>
              <w:t>研究平台</w:t>
            </w:r>
            <w:r w:rsidRPr="00E41644">
              <w:rPr>
                <w:rFonts w:eastAsia="標楷體"/>
                <w:bCs/>
                <w:kern w:val="2"/>
                <w:szCs w:val="24"/>
              </w:rPr>
              <w:t>，其</w:t>
            </w:r>
            <w:r w:rsidRPr="00E41644">
              <w:rPr>
                <w:rFonts w:eastAsia="標楷體" w:hint="eastAsia"/>
                <w:bCs/>
                <w:kern w:val="2"/>
                <w:szCs w:val="24"/>
              </w:rPr>
              <w:t>預算未使用部份</w:t>
            </w:r>
            <w:r w:rsidRPr="00E41644">
              <w:rPr>
                <w:rFonts w:eastAsia="標楷體"/>
                <w:bCs/>
                <w:kern w:val="2"/>
                <w:szCs w:val="24"/>
              </w:rPr>
              <w:t>歸入學校。</w:t>
            </w:r>
          </w:p>
        </w:tc>
      </w:tr>
      <w:tr w:rsidR="002C7AAB" w:rsidRPr="00400FD9" w:rsidTr="00576C1F">
        <w:trPr>
          <w:trHeight w:val="20"/>
          <w:jc w:val="center"/>
        </w:trPr>
        <w:tc>
          <w:tcPr>
            <w:tcW w:w="1134" w:type="dxa"/>
          </w:tcPr>
          <w:p w:rsidR="002C7AAB" w:rsidRPr="00400FD9" w:rsidRDefault="002C7AAB" w:rsidP="00432552">
            <w:pPr>
              <w:pStyle w:val="a9"/>
              <w:spacing w:line="400" w:lineRule="exact"/>
              <w:ind w:leftChars="0" w:left="0"/>
              <w:rPr>
                <w:rFonts w:eastAsia="標楷體" w:hAnsi="標楷體"/>
              </w:rPr>
            </w:pPr>
            <w:r w:rsidRPr="00400FD9">
              <w:rPr>
                <w:rFonts w:eastAsia="標楷體"/>
              </w:rPr>
              <w:t>第</w:t>
            </w:r>
            <w:r w:rsidRPr="00400FD9">
              <w:rPr>
                <w:rFonts w:eastAsia="標楷體" w:hint="eastAsia"/>
              </w:rPr>
              <w:t>6</w:t>
            </w:r>
            <w:r w:rsidRPr="00400FD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2C7AAB" w:rsidRPr="002C7AAB" w:rsidRDefault="002C7AAB" w:rsidP="00432552">
            <w:pPr>
              <w:pStyle w:val="a9"/>
              <w:spacing w:line="400" w:lineRule="exact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2C7AAB">
              <w:rPr>
                <w:rFonts w:eastAsia="標楷體"/>
                <w:bCs/>
                <w:kern w:val="2"/>
                <w:szCs w:val="24"/>
              </w:rPr>
              <w:t>繳費單正本應繳回平台所屬中心，</w:t>
            </w:r>
            <w:r w:rsidRPr="002C7AAB">
              <w:rPr>
                <w:rFonts w:eastAsia="標楷體"/>
                <w:szCs w:val="24"/>
              </w:rPr>
              <w:t>各中心應確實保存繳費單備查</w:t>
            </w:r>
            <w:r w:rsidRPr="002C7AAB">
              <w:rPr>
                <w:rFonts w:eastAsia="標楷體" w:hint="eastAsia"/>
                <w:szCs w:val="24"/>
              </w:rPr>
              <w:t>。</w:t>
            </w:r>
          </w:p>
        </w:tc>
      </w:tr>
      <w:tr w:rsidR="002C7AAB" w:rsidRPr="00400FD9" w:rsidTr="00576C1F">
        <w:trPr>
          <w:trHeight w:val="20"/>
          <w:jc w:val="center"/>
        </w:trPr>
        <w:tc>
          <w:tcPr>
            <w:tcW w:w="1134" w:type="dxa"/>
          </w:tcPr>
          <w:p w:rsidR="002C7AAB" w:rsidRPr="00400FD9" w:rsidRDefault="002C7AAB" w:rsidP="00432552">
            <w:pPr>
              <w:pStyle w:val="a9"/>
              <w:spacing w:line="400" w:lineRule="exact"/>
              <w:ind w:leftChars="0" w:left="0"/>
              <w:rPr>
                <w:rFonts w:eastAsia="標楷體" w:hAnsi="標楷體"/>
              </w:rPr>
            </w:pPr>
            <w:r w:rsidRPr="00400FD9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 w:rsidRPr="00400FD9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2C7AAB" w:rsidRPr="002C7AAB" w:rsidRDefault="002C7AAB" w:rsidP="00432552">
            <w:pPr>
              <w:spacing w:line="400" w:lineRule="exact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2C7AAB">
              <w:rPr>
                <w:rFonts w:eastAsia="標楷體" w:hint="eastAsia"/>
                <w:szCs w:val="24"/>
              </w:rPr>
              <w:t>本辦法未盡事宜</w:t>
            </w:r>
            <w:r w:rsidRPr="002C7AAB">
              <w:rPr>
                <w:rFonts w:eastAsia="標楷體"/>
                <w:szCs w:val="24"/>
              </w:rPr>
              <w:t>，</w:t>
            </w:r>
            <w:r w:rsidRPr="002C7AAB">
              <w:rPr>
                <w:rFonts w:eastAsia="標楷體" w:hint="eastAsia"/>
                <w:szCs w:val="24"/>
              </w:rPr>
              <w:t>悉</w:t>
            </w:r>
            <w:r w:rsidRPr="002C7AAB">
              <w:rPr>
                <w:rFonts w:eastAsia="標楷體"/>
                <w:szCs w:val="24"/>
              </w:rPr>
              <w:t>依本校相關規定辦理。</w:t>
            </w:r>
          </w:p>
        </w:tc>
      </w:tr>
      <w:tr w:rsidR="002C7AAB" w:rsidRPr="00400FD9" w:rsidTr="00576C1F">
        <w:trPr>
          <w:trHeight w:val="20"/>
          <w:jc w:val="center"/>
        </w:trPr>
        <w:tc>
          <w:tcPr>
            <w:tcW w:w="1134" w:type="dxa"/>
          </w:tcPr>
          <w:p w:rsidR="002C7AAB" w:rsidRPr="00400FD9" w:rsidRDefault="002C7AAB" w:rsidP="00432552">
            <w:pPr>
              <w:pStyle w:val="a9"/>
              <w:spacing w:line="400" w:lineRule="exact"/>
              <w:ind w:leftChars="0" w:left="0"/>
              <w:rPr>
                <w:rFonts w:eastAsia="標楷體" w:hAnsi="標楷體"/>
              </w:rPr>
            </w:pPr>
            <w:r w:rsidRPr="00400FD9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 w:rsidRPr="00400FD9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2C7AAB" w:rsidRPr="002C7AAB" w:rsidRDefault="002C7AAB" w:rsidP="00432552">
            <w:pPr>
              <w:pStyle w:val="a9"/>
              <w:spacing w:line="400" w:lineRule="exact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2C7AAB">
              <w:rPr>
                <w:rFonts w:eastAsia="標楷體" w:hint="eastAsia"/>
                <w:kern w:val="2"/>
                <w:szCs w:val="24"/>
              </w:rPr>
              <w:t>本辦法經行政會議審議通過後，自公布日起實施，修正時亦同。</w:t>
            </w:r>
          </w:p>
        </w:tc>
      </w:tr>
    </w:tbl>
    <w:p w:rsidR="00CC5646" w:rsidRPr="002C7AAB" w:rsidRDefault="00CC5646" w:rsidP="00CC5646">
      <w:pPr>
        <w:rPr>
          <w:rFonts w:ascii="標楷體" w:hAnsi="Arial" w:cs="標楷體"/>
        </w:rPr>
      </w:pPr>
    </w:p>
    <w:p w:rsidR="003D0A8E" w:rsidRDefault="003D0A8E">
      <w:pPr>
        <w:widowControl/>
        <w:adjustRightInd/>
        <w:spacing w:line="240" w:lineRule="auto"/>
        <w:textAlignment w:val="auto"/>
        <w:rPr>
          <w:rFonts w:ascii="標楷體" w:hAnsi="Arial" w:cs="標楷體"/>
        </w:rPr>
      </w:pPr>
    </w:p>
    <w:sectPr w:rsidR="003D0A8E" w:rsidSect="00F86EBB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AD" w:rsidRDefault="00D74BAD" w:rsidP="00B76C42">
      <w:pPr>
        <w:spacing w:line="240" w:lineRule="auto"/>
      </w:pPr>
      <w:r>
        <w:separator/>
      </w:r>
    </w:p>
  </w:endnote>
  <w:endnote w:type="continuationSeparator" w:id="0">
    <w:p w:rsidR="00D74BAD" w:rsidRDefault="00D74BAD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AD" w:rsidRDefault="00D74BAD" w:rsidP="00B76C42">
      <w:pPr>
        <w:spacing w:line="240" w:lineRule="auto"/>
      </w:pPr>
      <w:r>
        <w:separator/>
      </w:r>
    </w:p>
  </w:footnote>
  <w:footnote w:type="continuationSeparator" w:id="0">
    <w:p w:rsidR="00D74BAD" w:rsidRDefault="00D74BAD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35B"/>
    <w:multiLevelType w:val="hybridMultilevel"/>
    <w:tmpl w:val="A4F00EFE"/>
    <w:lvl w:ilvl="0" w:tplc="62BC5A04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2403875"/>
    <w:multiLevelType w:val="hybridMultilevel"/>
    <w:tmpl w:val="4E5216DA"/>
    <w:lvl w:ilvl="0" w:tplc="F1E6B662">
      <w:start w:val="1"/>
      <w:numFmt w:val="taiwaneseCountingThousand"/>
      <w:lvlText w:val="%1、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296014CE"/>
    <w:multiLevelType w:val="hybridMultilevel"/>
    <w:tmpl w:val="A4F00EFE"/>
    <w:lvl w:ilvl="0" w:tplc="62BC5A04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DB468EC"/>
    <w:multiLevelType w:val="hybridMultilevel"/>
    <w:tmpl w:val="219255A6"/>
    <w:lvl w:ilvl="0" w:tplc="F83CC76C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63E6349E"/>
    <w:multiLevelType w:val="hybridMultilevel"/>
    <w:tmpl w:val="B49C5056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8" w15:restartNumberingAfterBreak="0">
    <w:nsid w:val="72C96292"/>
    <w:multiLevelType w:val="hybridMultilevel"/>
    <w:tmpl w:val="724ADC3C"/>
    <w:lvl w:ilvl="0" w:tplc="B7EA288A">
      <w:start w:val="1"/>
      <w:numFmt w:val="taiwaneseCountingThousand"/>
      <w:lvlText w:val="（%1）"/>
      <w:lvlJc w:val="left"/>
      <w:pPr>
        <w:ind w:left="4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3608"/>
    <w:rsid w:val="0000783C"/>
    <w:rsid w:val="00023F63"/>
    <w:rsid w:val="00026F6C"/>
    <w:rsid w:val="00030EF0"/>
    <w:rsid w:val="00041987"/>
    <w:rsid w:val="00094DB9"/>
    <w:rsid w:val="000B7E2E"/>
    <w:rsid w:val="000D7EF8"/>
    <w:rsid w:val="000F3A3E"/>
    <w:rsid w:val="0011353A"/>
    <w:rsid w:val="001357FD"/>
    <w:rsid w:val="001367B4"/>
    <w:rsid w:val="00140257"/>
    <w:rsid w:val="00184369"/>
    <w:rsid w:val="001B2C57"/>
    <w:rsid w:val="001C7F6A"/>
    <w:rsid w:val="001D1491"/>
    <w:rsid w:val="001F4D1E"/>
    <w:rsid w:val="001F6523"/>
    <w:rsid w:val="0020103A"/>
    <w:rsid w:val="00214415"/>
    <w:rsid w:val="00231EB5"/>
    <w:rsid w:val="002365BB"/>
    <w:rsid w:val="00240B75"/>
    <w:rsid w:val="00256B29"/>
    <w:rsid w:val="00264C96"/>
    <w:rsid w:val="002701D3"/>
    <w:rsid w:val="00277994"/>
    <w:rsid w:val="002B2A08"/>
    <w:rsid w:val="002B4081"/>
    <w:rsid w:val="002C7AAB"/>
    <w:rsid w:val="002D371B"/>
    <w:rsid w:val="002D52C0"/>
    <w:rsid w:val="002F48EE"/>
    <w:rsid w:val="00320F40"/>
    <w:rsid w:val="0034656B"/>
    <w:rsid w:val="003533D9"/>
    <w:rsid w:val="003704FB"/>
    <w:rsid w:val="003876E2"/>
    <w:rsid w:val="00394BE4"/>
    <w:rsid w:val="003B3CA7"/>
    <w:rsid w:val="003D0162"/>
    <w:rsid w:val="003D0A8E"/>
    <w:rsid w:val="003E312E"/>
    <w:rsid w:val="004301DB"/>
    <w:rsid w:val="00432552"/>
    <w:rsid w:val="00452F13"/>
    <w:rsid w:val="00455622"/>
    <w:rsid w:val="00473E07"/>
    <w:rsid w:val="004907E7"/>
    <w:rsid w:val="004A641C"/>
    <w:rsid w:val="004C0810"/>
    <w:rsid w:val="005028D8"/>
    <w:rsid w:val="00502C0B"/>
    <w:rsid w:val="00504BF7"/>
    <w:rsid w:val="00505DF7"/>
    <w:rsid w:val="00517C6F"/>
    <w:rsid w:val="00543006"/>
    <w:rsid w:val="00544CEF"/>
    <w:rsid w:val="0054563C"/>
    <w:rsid w:val="00556100"/>
    <w:rsid w:val="0056672D"/>
    <w:rsid w:val="00575827"/>
    <w:rsid w:val="005948A8"/>
    <w:rsid w:val="005954E1"/>
    <w:rsid w:val="005C57A9"/>
    <w:rsid w:val="005D0BA6"/>
    <w:rsid w:val="005E4329"/>
    <w:rsid w:val="005E6DA6"/>
    <w:rsid w:val="005F7972"/>
    <w:rsid w:val="00634982"/>
    <w:rsid w:val="00635528"/>
    <w:rsid w:val="006409A0"/>
    <w:rsid w:val="00676970"/>
    <w:rsid w:val="00691A20"/>
    <w:rsid w:val="0069316D"/>
    <w:rsid w:val="00697801"/>
    <w:rsid w:val="006B51A9"/>
    <w:rsid w:val="006F241E"/>
    <w:rsid w:val="00706F99"/>
    <w:rsid w:val="007143F3"/>
    <w:rsid w:val="0072728D"/>
    <w:rsid w:val="0073362A"/>
    <w:rsid w:val="0073783E"/>
    <w:rsid w:val="007439B2"/>
    <w:rsid w:val="007452A9"/>
    <w:rsid w:val="00751FC4"/>
    <w:rsid w:val="00794642"/>
    <w:rsid w:val="00797B28"/>
    <w:rsid w:val="007A0FA3"/>
    <w:rsid w:val="007A3380"/>
    <w:rsid w:val="007B7C24"/>
    <w:rsid w:val="007C0A45"/>
    <w:rsid w:val="007D11D8"/>
    <w:rsid w:val="007F23C1"/>
    <w:rsid w:val="007F345E"/>
    <w:rsid w:val="008014BB"/>
    <w:rsid w:val="0080342D"/>
    <w:rsid w:val="00823445"/>
    <w:rsid w:val="00824F87"/>
    <w:rsid w:val="00831CEA"/>
    <w:rsid w:val="008610F5"/>
    <w:rsid w:val="0086330B"/>
    <w:rsid w:val="008B4746"/>
    <w:rsid w:val="008C5EBE"/>
    <w:rsid w:val="008D2C05"/>
    <w:rsid w:val="008E0376"/>
    <w:rsid w:val="008F15A0"/>
    <w:rsid w:val="00901DF2"/>
    <w:rsid w:val="00976590"/>
    <w:rsid w:val="009A0852"/>
    <w:rsid w:val="009C0378"/>
    <w:rsid w:val="00A07BBD"/>
    <w:rsid w:val="00A5148C"/>
    <w:rsid w:val="00A64985"/>
    <w:rsid w:val="00A6699F"/>
    <w:rsid w:val="00AF65D7"/>
    <w:rsid w:val="00B06003"/>
    <w:rsid w:val="00B2578C"/>
    <w:rsid w:val="00B545AC"/>
    <w:rsid w:val="00B754C8"/>
    <w:rsid w:val="00B76C42"/>
    <w:rsid w:val="00BC7A47"/>
    <w:rsid w:val="00BF7856"/>
    <w:rsid w:val="00C21045"/>
    <w:rsid w:val="00C5372E"/>
    <w:rsid w:val="00C74ED7"/>
    <w:rsid w:val="00CC15DA"/>
    <w:rsid w:val="00CC5646"/>
    <w:rsid w:val="00CC7499"/>
    <w:rsid w:val="00CE1D5F"/>
    <w:rsid w:val="00CE4E14"/>
    <w:rsid w:val="00CE59BD"/>
    <w:rsid w:val="00D1082C"/>
    <w:rsid w:val="00D2752C"/>
    <w:rsid w:val="00D27DF6"/>
    <w:rsid w:val="00D4032B"/>
    <w:rsid w:val="00D40E92"/>
    <w:rsid w:val="00D4143F"/>
    <w:rsid w:val="00D425A1"/>
    <w:rsid w:val="00D46D2A"/>
    <w:rsid w:val="00D7234B"/>
    <w:rsid w:val="00D74BAD"/>
    <w:rsid w:val="00DD1C08"/>
    <w:rsid w:val="00DE0BBD"/>
    <w:rsid w:val="00E00D03"/>
    <w:rsid w:val="00E021CF"/>
    <w:rsid w:val="00E043E7"/>
    <w:rsid w:val="00E141E9"/>
    <w:rsid w:val="00E200B4"/>
    <w:rsid w:val="00E41644"/>
    <w:rsid w:val="00E56213"/>
    <w:rsid w:val="00E639AA"/>
    <w:rsid w:val="00E720C4"/>
    <w:rsid w:val="00E8012C"/>
    <w:rsid w:val="00E84E3E"/>
    <w:rsid w:val="00E85C68"/>
    <w:rsid w:val="00E9568E"/>
    <w:rsid w:val="00EB3449"/>
    <w:rsid w:val="00ED2FC8"/>
    <w:rsid w:val="00ED3DC1"/>
    <w:rsid w:val="00EE5E02"/>
    <w:rsid w:val="00F000A7"/>
    <w:rsid w:val="00F32D34"/>
    <w:rsid w:val="00F32EA8"/>
    <w:rsid w:val="00F54F40"/>
    <w:rsid w:val="00F605C7"/>
    <w:rsid w:val="00F73BD7"/>
    <w:rsid w:val="00F86EBB"/>
    <w:rsid w:val="00FC437D"/>
    <w:rsid w:val="00FD46C9"/>
    <w:rsid w:val="00FE5CF5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C728C6-12C6-4B1E-9746-E814CC1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439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439B2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格格線1"/>
    <w:basedOn w:val="a1"/>
    <w:next w:val="ab"/>
    <w:uiPriority w:val="59"/>
    <w:rsid w:val="0034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2019-08-16T00:35:00Z</cp:lastPrinted>
  <dcterms:created xsi:type="dcterms:W3CDTF">2020-02-12T00:21:00Z</dcterms:created>
  <dcterms:modified xsi:type="dcterms:W3CDTF">2020-02-12T00:21:00Z</dcterms:modified>
</cp:coreProperties>
</file>