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8F" w:rsidRPr="00416A03" w:rsidRDefault="0023368F" w:rsidP="0023368F">
      <w:pPr>
        <w:rPr>
          <w:rFonts w:ascii="Times New Roman" w:eastAsia="標楷體" w:hAnsi="Times New Roman" w:cs="Times New Roman"/>
          <w:b/>
          <w:bCs/>
          <w:color w:val="000000" w:themeColor="text1"/>
          <w:kern w:val="36"/>
          <w:sz w:val="32"/>
          <w:szCs w:val="32"/>
        </w:rPr>
      </w:pPr>
      <w:r w:rsidRPr="00416A03">
        <w:rPr>
          <w:rFonts w:ascii="Times New Roman" w:eastAsia="標楷體" w:hAnsi="Times New Roman" w:cs="Times New Roman"/>
          <w:b/>
          <w:bCs/>
          <w:color w:val="000000" w:themeColor="text1"/>
          <w:kern w:val="36"/>
          <w:sz w:val="32"/>
          <w:szCs w:val="32"/>
        </w:rPr>
        <w:t>Kaohsiung Medical University</w:t>
      </w:r>
    </w:p>
    <w:p w:rsidR="0023368F" w:rsidRPr="00416A03" w:rsidRDefault="0023368F" w:rsidP="0023368F">
      <w:pPr>
        <w:rPr>
          <w:rFonts w:ascii="Times New Roman" w:eastAsia="標楷體" w:hAnsi="Times New Roman" w:cs="Times New Roman"/>
          <w:b/>
          <w:bCs/>
          <w:color w:val="000000" w:themeColor="text1"/>
          <w:kern w:val="36"/>
          <w:sz w:val="32"/>
          <w:szCs w:val="32"/>
        </w:rPr>
      </w:pPr>
      <w:r w:rsidRPr="00416A03">
        <w:rPr>
          <w:rFonts w:ascii="Times New Roman" w:eastAsia="標楷體" w:hAnsi="Times New Roman" w:cs="Times New Roman"/>
          <w:b/>
          <w:bCs/>
          <w:color w:val="000000" w:themeColor="text1"/>
          <w:kern w:val="36"/>
          <w:sz w:val="32"/>
          <w:szCs w:val="32"/>
        </w:rPr>
        <w:t>Directives Governing the Implementation of Scholarships and Subsidies for Special Education Students</w:t>
      </w:r>
    </w:p>
    <w:p w:rsidR="0023368F" w:rsidRPr="00416A03" w:rsidRDefault="0023368F" w:rsidP="0023368F">
      <w:pPr>
        <w:ind w:right="600" w:firstLineChars="2197" w:firstLine="4394"/>
        <w:jc w:val="right"/>
        <w:rPr>
          <w:rFonts w:ascii="Times New Roman" w:eastAsia="標楷體" w:hAnsi="Times New Roman" w:cs="Times New Roman"/>
          <w:color w:val="000000" w:themeColor="text1"/>
          <w:kern w:val="0"/>
          <w:sz w:val="20"/>
          <w:szCs w:val="20"/>
        </w:rPr>
      </w:pPr>
      <w:r w:rsidRPr="00416A03">
        <w:rPr>
          <w:rFonts w:ascii="Times New Roman" w:eastAsia="標楷體" w:hAnsi="Times New Roman" w:cs="Times New Roman"/>
          <w:color w:val="000000" w:themeColor="text1"/>
          <w:kern w:val="0"/>
          <w:sz w:val="20"/>
          <w:szCs w:val="20"/>
        </w:rPr>
        <w:t>September 15, 2022 Passed by the 1</w:t>
      </w:r>
      <w:r w:rsidRPr="00416A03">
        <w:rPr>
          <w:rFonts w:ascii="Times New Roman" w:eastAsia="標楷體" w:hAnsi="Times New Roman" w:cs="Times New Roman"/>
          <w:color w:val="000000" w:themeColor="text1"/>
          <w:kern w:val="0"/>
          <w:sz w:val="20"/>
          <w:szCs w:val="20"/>
          <w:vertAlign w:val="superscript"/>
        </w:rPr>
        <w:t>st</w:t>
      </w:r>
      <w:r w:rsidRPr="00416A03">
        <w:rPr>
          <w:rFonts w:ascii="Times New Roman" w:eastAsia="標楷體" w:hAnsi="Times New Roman" w:cs="Times New Roman"/>
          <w:color w:val="000000" w:themeColor="text1"/>
          <w:kern w:val="0"/>
          <w:sz w:val="20"/>
          <w:szCs w:val="20"/>
        </w:rPr>
        <w:t xml:space="preserve"> Student Affairs Meeting of the Academic Year 2022</w:t>
      </w:r>
    </w:p>
    <w:p w:rsidR="0023368F" w:rsidRPr="00416A03" w:rsidRDefault="00466E76" w:rsidP="00466E76">
      <w:pPr>
        <w:ind w:right="1000" w:firstLineChars="2197" w:firstLine="4394"/>
        <w:jc w:val="right"/>
        <w:rPr>
          <w:rFonts w:ascii="Times New Roman" w:eastAsia="標楷體" w:hAnsi="Times New Roman" w:cs="Times New Roman"/>
          <w:color w:val="000000" w:themeColor="text1"/>
          <w:sz w:val="20"/>
          <w:szCs w:val="20"/>
        </w:rPr>
      </w:pPr>
      <w:r w:rsidRPr="00416A03">
        <w:rPr>
          <w:rFonts w:ascii="Times New Roman" w:eastAsia="標楷體" w:hAnsi="Times New Roman" w:cs="Times New Roman"/>
          <w:color w:val="000000" w:themeColor="text1"/>
          <w:sz w:val="20"/>
          <w:szCs w:val="20"/>
        </w:rPr>
        <w:t>October 4, 2022 Promulgated via the KMU official letter Hsueh Wu Tzu No. 1111103804</w:t>
      </w:r>
    </w:p>
    <w:p w:rsidR="00EA05E7" w:rsidRPr="00416A03" w:rsidRDefault="00EA05E7" w:rsidP="00466E76">
      <w:pPr>
        <w:ind w:right="1000" w:firstLineChars="2197" w:firstLine="4394"/>
        <w:jc w:val="right"/>
        <w:rPr>
          <w:rFonts w:ascii="Times New Roman" w:eastAsia="標楷體" w:hAnsi="Times New Roman" w:cs="Times New Roman"/>
          <w:color w:val="000000" w:themeColor="text1"/>
          <w:sz w:val="20"/>
          <w:szCs w:val="20"/>
        </w:rPr>
      </w:pPr>
    </w:p>
    <w:p w:rsidR="00466E76" w:rsidRPr="00416A03" w:rsidRDefault="00466E76" w:rsidP="00466E76">
      <w:pPr>
        <w:ind w:left="1020" w:hangingChars="425" w:hanging="1020"/>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Article 1 Kaohsiung Medical University (KMU or “the University”) formulates the </w:t>
      </w:r>
      <w:r w:rsidR="00B0091A" w:rsidRPr="00416A03">
        <w:rPr>
          <w:rFonts w:ascii="Times New Roman" w:eastAsia="標楷體" w:hAnsi="Times New Roman" w:cs="Times New Roman"/>
          <w:color w:val="000000" w:themeColor="text1"/>
          <w:kern w:val="0"/>
        </w:rPr>
        <w:t xml:space="preserve">KMU </w:t>
      </w:r>
      <w:r w:rsidRPr="00416A03">
        <w:rPr>
          <w:rFonts w:ascii="Times New Roman" w:eastAsia="標楷體" w:hAnsi="Times New Roman" w:cs="Times New Roman"/>
          <w:color w:val="000000" w:themeColor="text1"/>
          <w:kern w:val="0"/>
        </w:rPr>
        <w:t>Directives Governing the Implementation of Scholarships and Subsidies for Special Education Students (“the Directives”) in accordance with the Regulations for Scholarships and Subsidies for Special Education Students of the Ministry of Education (MOE) to encourage</w:t>
      </w:r>
      <w:r w:rsidR="003042A8" w:rsidRPr="00416A03">
        <w:rPr>
          <w:rFonts w:ascii="Times New Roman" w:eastAsia="標楷體" w:hAnsi="Times New Roman" w:cs="Times New Roman" w:hint="eastAsia"/>
          <w:color w:val="000000" w:themeColor="text1"/>
          <w:kern w:val="0"/>
        </w:rPr>
        <w:t xml:space="preserve"> </w:t>
      </w:r>
      <w:r w:rsidR="003042A8" w:rsidRPr="00416A03">
        <w:rPr>
          <w:rFonts w:ascii="Times New Roman" w:eastAsia="標楷體" w:hAnsi="Times New Roman" w:cs="Times New Roman"/>
          <w:color w:val="000000" w:themeColor="text1"/>
          <w:kern w:val="0"/>
        </w:rPr>
        <w:t>the</w:t>
      </w:r>
      <w:r w:rsidRPr="00416A03">
        <w:rPr>
          <w:rFonts w:ascii="Times New Roman" w:eastAsia="標楷體" w:hAnsi="Times New Roman" w:cs="Times New Roman"/>
          <w:color w:val="000000" w:themeColor="text1"/>
          <w:kern w:val="0"/>
        </w:rPr>
        <w:t xml:space="preserve"> </w:t>
      </w:r>
      <w:r w:rsidR="003042A8" w:rsidRPr="00416A03">
        <w:rPr>
          <w:rFonts w:ascii="Times New Roman" w:eastAsia="標楷體" w:hAnsi="Times New Roman" w:cs="Times New Roman"/>
          <w:color w:val="000000" w:themeColor="text1"/>
          <w:kern w:val="0"/>
        </w:rPr>
        <w:t xml:space="preserve">University’s </w:t>
      </w:r>
      <w:r w:rsidRPr="00416A03">
        <w:rPr>
          <w:rFonts w:ascii="Times New Roman" w:eastAsia="標楷體" w:hAnsi="Times New Roman" w:cs="Times New Roman"/>
          <w:color w:val="000000" w:themeColor="text1"/>
          <w:kern w:val="0"/>
        </w:rPr>
        <w:t>special education students to study hard.</w:t>
      </w:r>
    </w:p>
    <w:p w:rsidR="00466E76" w:rsidRPr="00416A03" w:rsidRDefault="00466E76" w:rsidP="00466E76">
      <w:pPr>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Article 2 Funding source:</w:t>
      </w:r>
    </w:p>
    <w:p w:rsidR="00466E76" w:rsidRPr="00416A03" w:rsidRDefault="00911674" w:rsidP="00466E76">
      <w:pPr>
        <w:pStyle w:val="a3"/>
        <w:numPr>
          <w:ilvl w:val="0"/>
          <w:numId w:val="20"/>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F</w:t>
      </w:r>
      <w:r w:rsidRPr="00416A03">
        <w:rPr>
          <w:rFonts w:ascii="Times New Roman" w:eastAsia="標楷體" w:hAnsi="Times New Roman" w:cs="Times New Roman" w:hint="eastAsia"/>
          <w:color w:val="000000" w:themeColor="text1"/>
          <w:kern w:val="0"/>
        </w:rPr>
        <w:t>u</w:t>
      </w:r>
      <w:r w:rsidRPr="00416A03">
        <w:rPr>
          <w:rFonts w:ascii="Times New Roman" w:eastAsia="標楷體" w:hAnsi="Times New Roman" w:cs="Times New Roman"/>
          <w:color w:val="000000" w:themeColor="text1"/>
          <w:kern w:val="0"/>
        </w:rPr>
        <w:t>nds a</w:t>
      </w:r>
      <w:r w:rsidR="00466E76" w:rsidRPr="00416A03">
        <w:rPr>
          <w:rFonts w:ascii="Times New Roman" w:eastAsia="標楷體" w:hAnsi="Times New Roman" w:cs="Times New Roman"/>
          <w:color w:val="000000" w:themeColor="text1"/>
          <w:kern w:val="0"/>
        </w:rPr>
        <w:t xml:space="preserve">llocated from the MOE’s </w:t>
      </w:r>
      <w:r w:rsidRPr="00416A03">
        <w:rPr>
          <w:rFonts w:ascii="Times New Roman" w:eastAsia="標楷體" w:hAnsi="Times New Roman" w:cs="Times New Roman"/>
          <w:color w:val="000000" w:themeColor="text1"/>
          <w:kern w:val="0"/>
        </w:rPr>
        <w:t>earmarked</w:t>
      </w:r>
      <w:r w:rsidR="00466E76" w:rsidRPr="00416A03">
        <w:rPr>
          <w:rFonts w:ascii="Times New Roman" w:eastAsia="標楷體" w:hAnsi="Times New Roman" w:cs="Times New Roman"/>
          <w:color w:val="000000" w:themeColor="text1"/>
          <w:kern w:val="0"/>
        </w:rPr>
        <w:t xml:space="preserve"> funds.</w:t>
      </w:r>
    </w:p>
    <w:p w:rsidR="00466E76" w:rsidRPr="00416A03" w:rsidRDefault="00911674" w:rsidP="00466E76">
      <w:pPr>
        <w:pStyle w:val="a3"/>
        <w:numPr>
          <w:ilvl w:val="0"/>
          <w:numId w:val="20"/>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Funds a</w:t>
      </w:r>
      <w:r w:rsidR="00466E76" w:rsidRPr="00416A03">
        <w:rPr>
          <w:rFonts w:ascii="Times New Roman" w:eastAsia="標楷體" w:hAnsi="Times New Roman" w:cs="Times New Roman"/>
          <w:color w:val="000000" w:themeColor="text1"/>
          <w:kern w:val="0"/>
        </w:rPr>
        <w:t>llocated in accordance with the MOE’s Regulations for the Collection of Tuitions and Miscellaneous Fees for Junior Colleges and Above.</w:t>
      </w:r>
    </w:p>
    <w:p w:rsidR="00466E76" w:rsidRPr="00416A03" w:rsidRDefault="00466E76" w:rsidP="00466E76">
      <w:pPr>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Article 3 </w:t>
      </w:r>
      <w:r w:rsidR="00F4277F" w:rsidRPr="00416A03">
        <w:rPr>
          <w:rFonts w:ascii="Times New Roman" w:eastAsia="標楷體" w:hAnsi="Times New Roman" w:cs="Times New Roman"/>
          <w:color w:val="000000" w:themeColor="text1"/>
        </w:rPr>
        <w:t xml:space="preserve">Eligible Applicants </w:t>
      </w:r>
      <w:r w:rsidR="00FE5D43" w:rsidRPr="00416A03">
        <w:rPr>
          <w:rFonts w:ascii="Times New Roman" w:eastAsia="標楷體" w:hAnsi="Times New Roman" w:cs="Times New Roman"/>
          <w:color w:val="000000" w:themeColor="text1"/>
        </w:rPr>
        <w:t>for the scholarships and subsidies:</w:t>
      </w:r>
    </w:p>
    <w:p w:rsidR="00783670" w:rsidRPr="00416A03" w:rsidRDefault="00783670" w:rsidP="00FE5D43">
      <w:pPr>
        <w:pStyle w:val="a3"/>
        <w:ind w:leftChars="0" w:left="48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FE5D43" w:rsidRPr="00416A03">
        <w:rPr>
          <w:rFonts w:ascii="Times New Roman" w:eastAsia="標楷體" w:hAnsi="Times New Roman" w:cs="Times New Roman"/>
          <w:color w:val="000000" w:themeColor="text1"/>
        </w:rPr>
        <w:t xml:space="preserve">Students </w:t>
      </w:r>
      <w:r w:rsidR="00911674" w:rsidRPr="00416A03">
        <w:rPr>
          <w:rFonts w:ascii="Times New Roman" w:eastAsia="標楷體" w:hAnsi="Times New Roman" w:cs="Times New Roman"/>
          <w:color w:val="000000" w:themeColor="text1"/>
        </w:rPr>
        <w:t xml:space="preserve">who </w:t>
      </w:r>
      <w:r w:rsidR="00117D27" w:rsidRPr="00416A03">
        <w:rPr>
          <w:rFonts w:ascii="Times New Roman" w:eastAsia="標楷體" w:hAnsi="Times New Roman" w:cs="Times New Roman"/>
          <w:color w:val="000000" w:themeColor="text1"/>
        </w:rPr>
        <w:t>hold ROC (Taiwan)</w:t>
      </w:r>
      <w:r w:rsidR="00117D27" w:rsidRPr="00416A03">
        <w:rPr>
          <w:rFonts w:ascii="Times New Roman" w:eastAsia="標楷體" w:hAnsi="Times New Roman" w:cs="Times New Roman" w:hint="eastAsia"/>
          <w:color w:val="000000" w:themeColor="text1"/>
        </w:rPr>
        <w:t xml:space="preserve"> </w:t>
      </w:r>
      <w:r w:rsidR="00FE5D43" w:rsidRPr="00416A03">
        <w:rPr>
          <w:rFonts w:ascii="Times New Roman" w:eastAsia="標楷體" w:hAnsi="Times New Roman" w:cs="Times New Roman"/>
          <w:color w:val="000000" w:themeColor="text1"/>
        </w:rPr>
        <w:t>nationality</w:t>
      </w:r>
      <w:r w:rsidR="00911674" w:rsidRPr="00416A03">
        <w:rPr>
          <w:rFonts w:ascii="Times New Roman" w:eastAsia="標楷體" w:hAnsi="Times New Roman" w:cs="Times New Roman"/>
          <w:color w:val="000000" w:themeColor="text1"/>
        </w:rPr>
        <w:t xml:space="preserve">, are </w:t>
      </w:r>
      <w:r w:rsidR="008E4E2C" w:rsidRPr="00416A03">
        <w:rPr>
          <w:rFonts w:ascii="Times New Roman" w:eastAsia="標楷體" w:hAnsi="Times New Roman" w:cs="Times New Roman"/>
          <w:color w:val="000000" w:themeColor="text1"/>
        </w:rPr>
        <w:t>enrolled</w:t>
      </w:r>
      <w:r w:rsidR="008E4E2C" w:rsidRPr="00416A03">
        <w:rPr>
          <w:rFonts w:ascii="Times New Roman" w:eastAsia="標楷體" w:hAnsi="Times New Roman" w:cs="Times New Roman" w:hint="eastAsia"/>
          <w:color w:val="000000" w:themeColor="text1"/>
        </w:rPr>
        <w:t xml:space="preserve"> a</w:t>
      </w:r>
      <w:r w:rsidR="008E4E2C" w:rsidRPr="00416A03">
        <w:rPr>
          <w:rFonts w:ascii="Times New Roman" w:eastAsia="標楷體" w:hAnsi="Times New Roman" w:cs="Times New Roman"/>
          <w:color w:val="000000" w:themeColor="text1"/>
        </w:rPr>
        <w:t xml:space="preserve">t </w:t>
      </w:r>
      <w:r w:rsidR="00911674" w:rsidRPr="00416A03">
        <w:rPr>
          <w:rFonts w:ascii="Times New Roman" w:eastAsia="標楷體" w:hAnsi="Times New Roman" w:cs="Times New Roman"/>
          <w:color w:val="000000" w:themeColor="text1"/>
        </w:rPr>
        <w:t>the University,</w:t>
      </w:r>
      <w:r w:rsidR="00FE5D43" w:rsidRPr="00416A03">
        <w:rPr>
          <w:rFonts w:ascii="Times New Roman" w:eastAsia="標楷體" w:hAnsi="Times New Roman" w:cs="Times New Roman"/>
          <w:color w:val="000000" w:themeColor="text1"/>
        </w:rPr>
        <w:t xml:space="preserve"> and </w:t>
      </w:r>
      <w:r w:rsidR="00911674" w:rsidRPr="00416A03">
        <w:rPr>
          <w:rFonts w:ascii="Times New Roman" w:eastAsia="標楷體" w:hAnsi="Times New Roman" w:cs="Times New Roman"/>
          <w:color w:val="000000" w:themeColor="text1"/>
        </w:rPr>
        <w:t xml:space="preserve">possess </w:t>
      </w:r>
      <w:r w:rsidR="00FE5D43" w:rsidRPr="00416A03">
        <w:rPr>
          <w:rFonts w:ascii="Times New Roman" w:eastAsia="標楷體" w:hAnsi="Times New Roman" w:cs="Times New Roman"/>
          <w:color w:val="000000" w:themeColor="text1"/>
        </w:rPr>
        <w:t xml:space="preserve">a </w:t>
      </w:r>
      <w:r w:rsidRPr="00416A03">
        <w:rPr>
          <w:rFonts w:ascii="Times New Roman" w:eastAsia="標楷體" w:hAnsi="Times New Roman" w:cs="Times New Roman" w:hint="eastAsia"/>
          <w:color w:val="000000" w:themeColor="text1"/>
        </w:rPr>
        <w:t xml:space="preserve"> </w:t>
      </w:r>
    </w:p>
    <w:p w:rsidR="00783670" w:rsidRPr="00416A03" w:rsidRDefault="00783670" w:rsidP="00FE5D43">
      <w:pPr>
        <w:pStyle w:val="a3"/>
        <w:ind w:leftChars="0" w:left="48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FE5D43" w:rsidRPr="00416A03">
        <w:rPr>
          <w:rFonts w:ascii="Times New Roman" w:eastAsia="標楷體" w:hAnsi="Times New Roman" w:cs="Times New Roman"/>
          <w:color w:val="000000" w:themeColor="text1"/>
        </w:rPr>
        <w:t xml:space="preserve">certificate of </w:t>
      </w:r>
      <w:r w:rsidR="008E4E2C" w:rsidRPr="00416A03">
        <w:rPr>
          <w:rFonts w:ascii="Times New Roman" w:eastAsia="標楷體" w:hAnsi="Times New Roman" w:cs="Times New Roman"/>
          <w:color w:val="000000" w:themeColor="text1"/>
        </w:rPr>
        <w:t>assessment</w:t>
      </w:r>
      <w:r w:rsidR="00FE5D43" w:rsidRPr="00416A03">
        <w:rPr>
          <w:rFonts w:ascii="Times New Roman" w:eastAsia="標楷體" w:hAnsi="Times New Roman" w:cs="Times New Roman"/>
          <w:color w:val="000000" w:themeColor="text1"/>
        </w:rPr>
        <w:t xml:space="preserve"> issued by the Special Education Student</w:t>
      </w:r>
      <w:r w:rsidR="008E4E2C" w:rsidRPr="00416A03">
        <w:rPr>
          <w:rFonts w:ascii="Times New Roman" w:eastAsia="標楷體" w:hAnsi="Times New Roman" w:cs="Times New Roman"/>
          <w:color w:val="000000" w:themeColor="text1"/>
        </w:rPr>
        <w:t>s</w:t>
      </w:r>
      <w:r w:rsidR="00FE5D43" w:rsidRPr="00416A03">
        <w:rPr>
          <w:rFonts w:ascii="Times New Roman" w:eastAsia="標楷體" w:hAnsi="Times New Roman" w:cs="Times New Roman"/>
          <w:color w:val="000000" w:themeColor="text1"/>
        </w:rPr>
        <w:t xml:space="preserve"> </w:t>
      </w:r>
      <w:r w:rsidR="008E4E2C" w:rsidRPr="00416A03">
        <w:rPr>
          <w:rFonts w:ascii="Times New Roman" w:eastAsia="標楷體" w:hAnsi="Times New Roman" w:cs="Times New Roman"/>
          <w:color w:val="000000" w:themeColor="text1"/>
        </w:rPr>
        <w:t>Identification</w:t>
      </w:r>
      <w:r w:rsidR="00FE5D43" w:rsidRPr="00416A03">
        <w:rPr>
          <w:rFonts w:ascii="Times New Roman" w:eastAsia="標楷體" w:hAnsi="Times New Roman" w:cs="Times New Roman"/>
          <w:color w:val="000000" w:themeColor="text1"/>
        </w:rPr>
        <w:t xml:space="preserve"> and </w:t>
      </w:r>
      <w:r w:rsidRPr="00416A03">
        <w:rPr>
          <w:rFonts w:ascii="Times New Roman" w:eastAsia="標楷體" w:hAnsi="Times New Roman" w:cs="Times New Roman" w:hint="eastAsia"/>
          <w:color w:val="000000" w:themeColor="text1"/>
        </w:rPr>
        <w:t xml:space="preserve"> </w:t>
      </w:r>
    </w:p>
    <w:p w:rsidR="00FE5D43" w:rsidRPr="00416A03" w:rsidRDefault="00783670" w:rsidP="00FE5D43">
      <w:pPr>
        <w:pStyle w:val="a3"/>
        <w:ind w:leftChars="0" w:left="48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8E4E2C" w:rsidRPr="00416A03">
        <w:rPr>
          <w:rFonts w:ascii="Times New Roman" w:eastAsia="標楷體" w:hAnsi="Times New Roman" w:cs="Times New Roman"/>
          <w:color w:val="000000" w:themeColor="text1"/>
        </w:rPr>
        <w:t>Educational Placement</w:t>
      </w:r>
      <w:r w:rsidR="00FE5D43" w:rsidRPr="00416A03">
        <w:rPr>
          <w:rFonts w:ascii="Times New Roman" w:eastAsia="標楷體" w:hAnsi="Times New Roman" w:cs="Times New Roman"/>
          <w:color w:val="000000" w:themeColor="text1"/>
        </w:rPr>
        <w:t xml:space="preserve"> Committee </w:t>
      </w:r>
      <w:r w:rsidR="008E4E2C" w:rsidRPr="00416A03">
        <w:rPr>
          <w:rFonts w:ascii="Times New Roman" w:eastAsia="標楷體" w:hAnsi="Times New Roman" w:cs="Times New Roman"/>
          <w:color w:val="000000" w:themeColor="text1"/>
        </w:rPr>
        <w:t xml:space="preserve">(IEPC) </w:t>
      </w:r>
      <w:r w:rsidR="00FE5D43" w:rsidRPr="00416A03">
        <w:rPr>
          <w:rFonts w:ascii="Times New Roman" w:eastAsia="標楷體" w:hAnsi="Times New Roman" w:cs="Times New Roman"/>
          <w:color w:val="000000" w:themeColor="text1"/>
        </w:rPr>
        <w:t xml:space="preserve">of </w:t>
      </w:r>
      <w:r w:rsidR="007545C8" w:rsidRPr="00416A03">
        <w:rPr>
          <w:rFonts w:ascii="Times New Roman" w:eastAsia="標楷體" w:hAnsi="Times New Roman"/>
          <w:color w:val="000000" w:themeColor="text1"/>
        </w:rPr>
        <w:t>competent</w:t>
      </w:r>
      <w:r w:rsidR="007545C8" w:rsidRPr="00416A03">
        <w:rPr>
          <w:rFonts w:ascii="Times New Roman" w:eastAsia="標楷體" w:hAnsi="Times New Roman" w:cs="Times New Roman"/>
          <w:color w:val="000000" w:themeColor="text1"/>
        </w:rPr>
        <w:t xml:space="preserve"> </w:t>
      </w:r>
      <w:r w:rsidR="00911674" w:rsidRPr="00416A03">
        <w:rPr>
          <w:rFonts w:ascii="Times New Roman" w:eastAsia="標楷體" w:hAnsi="Times New Roman" w:cs="Times New Roman"/>
          <w:color w:val="000000" w:themeColor="text1"/>
        </w:rPr>
        <w:t>authorities at all levels, may apply.</w:t>
      </w:r>
    </w:p>
    <w:p w:rsidR="00FE5D43" w:rsidRPr="00416A03" w:rsidRDefault="00FE5D43" w:rsidP="00FE5D43">
      <w:pPr>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Article 4 Students who meet one of the following </w:t>
      </w:r>
      <w:r w:rsidR="009C553C" w:rsidRPr="00416A03">
        <w:rPr>
          <w:rFonts w:ascii="Times New Roman" w:eastAsia="標楷體" w:hAnsi="Times New Roman" w:cs="Times New Roman"/>
          <w:color w:val="000000" w:themeColor="text1"/>
        </w:rPr>
        <w:t xml:space="preserve">qualifications </w:t>
      </w:r>
      <w:r w:rsidRPr="00416A03">
        <w:rPr>
          <w:rFonts w:ascii="Times New Roman" w:eastAsia="標楷體" w:hAnsi="Times New Roman" w:cs="Times New Roman"/>
          <w:color w:val="000000" w:themeColor="text1"/>
        </w:rPr>
        <w:t>may apply for scholarships:</w:t>
      </w:r>
    </w:p>
    <w:p w:rsidR="00FE5D43" w:rsidRPr="00416A03" w:rsidRDefault="00FE5D43" w:rsidP="0041507A">
      <w:pPr>
        <w:ind w:left="709"/>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1. </w:t>
      </w:r>
      <w:r w:rsidR="0041507A" w:rsidRPr="00416A03">
        <w:rPr>
          <w:rFonts w:ascii="Times New Roman" w:eastAsia="標楷體" w:hAnsi="Times New Roman" w:cs="Times New Roman"/>
          <w:color w:val="000000" w:themeColor="text1"/>
          <w:kern w:val="0"/>
        </w:rPr>
        <w:t xml:space="preserve">The following provisions apply to students who enrolled in or after the academic year 2022 </w:t>
      </w:r>
      <w:r w:rsidR="00783670" w:rsidRPr="00416A03">
        <w:rPr>
          <w:rFonts w:ascii="Times New Roman" w:eastAsia="標楷體" w:hAnsi="Times New Roman" w:cs="Times New Roman"/>
          <w:color w:val="000000" w:themeColor="text1"/>
          <w:kern w:val="0"/>
        </w:rPr>
        <w:br/>
      </w:r>
      <w:r w:rsidR="00783670" w:rsidRPr="00416A03">
        <w:rPr>
          <w:rFonts w:ascii="Times New Roman" w:eastAsia="標楷體" w:hAnsi="Times New Roman" w:cs="Times New Roman" w:hint="eastAsia"/>
          <w:color w:val="000000" w:themeColor="text1"/>
          <w:kern w:val="0"/>
        </w:rPr>
        <w:t xml:space="preserve">  </w:t>
      </w:r>
      <w:r w:rsidR="0041507A" w:rsidRPr="00416A03">
        <w:rPr>
          <w:rFonts w:ascii="Times New Roman" w:eastAsia="標楷體" w:hAnsi="Times New Roman" w:cs="Times New Roman"/>
          <w:color w:val="000000" w:themeColor="text1"/>
          <w:kern w:val="0"/>
        </w:rPr>
        <w:t>(</w:t>
      </w:r>
      <w:r w:rsidR="00F06748" w:rsidRPr="00416A03">
        <w:rPr>
          <w:rFonts w:ascii="Times New Roman" w:eastAsia="標楷體" w:hAnsi="Times New Roman" w:cs="Times New Roman"/>
          <w:color w:val="000000" w:themeColor="text1"/>
          <w:kern w:val="0"/>
        </w:rPr>
        <w:t>the academic year of first-year undergraduate admission</w:t>
      </w:r>
      <w:r w:rsidR="0041507A" w:rsidRPr="00416A03">
        <w:rPr>
          <w:rFonts w:ascii="Times New Roman" w:eastAsia="標楷體" w:hAnsi="Times New Roman" w:cs="Times New Roman"/>
          <w:color w:val="000000" w:themeColor="text1"/>
          <w:kern w:val="0"/>
        </w:rPr>
        <w:t>):</w:t>
      </w:r>
    </w:p>
    <w:p w:rsidR="008D5404" w:rsidRPr="00416A03" w:rsidRDefault="008D5404" w:rsidP="00496DFC">
      <w:pPr>
        <w:pStyle w:val="a3"/>
        <w:numPr>
          <w:ilvl w:val="0"/>
          <w:numId w:val="22"/>
        </w:numPr>
        <w:ind w:leftChars="0"/>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The average academic grade from the previous academic year is 80 or above.</w:t>
      </w:r>
    </w:p>
    <w:p w:rsidR="008D5404" w:rsidRPr="00416A03" w:rsidRDefault="00D519EC" w:rsidP="00496DFC">
      <w:pPr>
        <w:pStyle w:val="a3"/>
        <w:numPr>
          <w:ilvl w:val="0"/>
          <w:numId w:val="22"/>
        </w:numPr>
        <w:ind w:leftChars="0"/>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Ranked </w:t>
      </w:r>
      <w:r w:rsidR="00496DFC" w:rsidRPr="00416A03">
        <w:rPr>
          <w:rFonts w:ascii="Times New Roman" w:eastAsia="標楷體" w:hAnsi="Times New Roman" w:cs="Times New Roman"/>
          <w:color w:val="000000" w:themeColor="text1"/>
          <w:kern w:val="0"/>
        </w:rPr>
        <w:t xml:space="preserve">within the top 50% of the class. However, </w:t>
      </w:r>
      <w:r w:rsidRPr="00416A03">
        <w:rPr>
          <w:rFonts w:ascii="Times New Roman" w:eastAsia="標楷體" w:hAnsi="Times New Roman" w:cs="Times New Roman"/>
          <w:color w:val="000000" w:themeColor="text1"/>
          <w:kern w:val="0"/>
        </w:rPr>
        <w:t xml:space="preserve">graduate students </w:t>
      </w:r>
      <w:r w:rsidR="00496DFC" w:rsidRPr="00416A03">
        <w:rPr>
          <w:rFonts w:ascii="Times New Roman" w:eastAsia="標楷體" w:hAnsi="Times New Roman" w:cs="Times New Roman"/>
          <w:color w:val="000000" w:themeColor="text1"/>
          <w:kern w:val="0"/>
        </w:rPr>
        <w:t>are not subject to the restriction of class ranking.</w:t>
      </w:r>
    </w:p>
    <w:p w:rsidR="00496DFC" w:rsidRPr="00416A03" w:rsidRDefault="00496DFC" w:rsidP="00496DFC">
      <w:pPr>
        <w:pStyle w:val="a3"/>
        <w:numPr>
          <w:ilvl w:val="0"/>
          <w:numId w:val="22"/>
        </w:numPr>
        <w:ind w:leftChars="0"/>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Students shall </w:t>
      </w:r>
      <w:r w:rsidR="00900CE8" w:rsidRPr="00416A03">
        <w:rPr>
          <w:rFonts w:ascii="Times New Roman" w:eastAsia="標楷體" w:hAnsi="Times New Roman" w:cs="Times New Roman"/>
          <w:color w:val="000000" w:themeColor="text1"/>
          <w:kern w:val="0"/>
        </w:rPr>
        <w:t>have</w:t>
      </w:r>
      <w:r w:rsidRPr="00416A03">
        <w:rPr>
          <w:rFonts w:ascii="Times New Roman" w:eastAsia="標楷體" w:hAnsi="Times New Roman" w:cs="Times New Roman"/>
          <w:color w:val="000000" w:themeColor="text1"/>
          <w:kern w:val="0"/>
        </w:rPr>
        <w:t xml:space="preserve"> good conduct and shall not have received </w:t>
      </w:r>
      <w:r w:rsidR="005A7C4A" w:rsidRPr="00416A03">
        <w:rPr>
          <w:rFonts w:ascii="Times New Roman" w:eastAsia="標楷體" w:hAnsi="Times New Roman" w:cs="Times New Roman"/>
          <w:color w:val="000000" w:themeColor="text1"/>
          <w:kern w:val="0"/>
        </w:rPr>
        <w:t>a</w:t>
      </w:r>
      <w:r w:rsidRPr="00416A03">
        <w:rPr>
          <w:rFonts w:ascii="Times New Roman" w:eastAsia="標楷體" w:hAnsi="Times New Roman" w:cs="Times New Roman"/>
          <w:color w:val="000000" w:themeColor="text1"/>
          <w:kern w:val="0"/>
        </w:rPr>
        <w:t xml:space="preserve"> demerit </w:t>
      </w:r>
      <w:r w:rsidR="005A7C4A" w:rsidRPr="00416A03">
        <w:rPr>
          <w:rFonts w:ascii="Times New Roman" w:eastAsia="標楷體" w:hAnsi="Times New Roman" w:cs="Times New Roman"/>
          <w:color w:val="000000" w:themeColor="text1"/>
          <w:kern w:val="0"/>
        </w:rPr>
        <w:t xml:space="preserve">or higher </w:t>
      </w:r>
      <w:r w:rsidRPr="00416A03">
        <w:rPr>
          <w:rFonts w:ascii="Times New Roman" w:eastAsia="標楷體" w:hAnsi="Times New Roman" w:cs="Times New Roman"/>
          <w:color w:val="000000" w:themeColor="text1"/>
          <w:kern w:val="0"/>
        </w:rPr>
        <w:t>punishment in the previous academic year.</w:t>
      </w:r>
    </w:p>
    <w:p w:rsidR="00496DFC" w:rsidRPr="00416A03" w:rsidRDefault="00496DFC" w:rsidP="00496DFC">
      <w:pPr>
        <w:ind w:left="709"/>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2</w:t>
      </w:r>
      <w:r w:rsidRPr="00416A03">
        <w:rPr>
          <w:rFonts w:ascii="Times New Roman" w:eastAsia="標楷體" w:hAnsi="Times New Roman" w:cs="Times New Roman"/>
          <w:color w:val="000000" w:themeColor="text1"/>
        </w:rPr>
        <w:t xml:space="preserve">. </w:t>
      </w:r>
      <w:r w:rsidR="00494902" w:rsidRPr="00416A03">
        <w:rPr>
          <w:rFonts w:ascii="Times New Roman" w:eastAsia="標楷體" w:hAnsi="Times New Roman" w:cs="Times New Roman"/>
          <w:color w:val="000000" w:themeColor="text1"/>
        </w:rPr>
        <w:t xml:space="preserve">The following provisions apply to students who enrolled in or before the academic year </w:t>
      </w:r>
      <w:r w:rsidR="00783670" w:rsidRPr="00416A03">
        <w:rPr>
          <w:rFonts w:ascii="Times New Roman" w:eastAsia="標楷體" w:hAnsi="Times New Roman" w:cs="Times New Roman" w:hint="eastAsia"/>
          <w:color w:val="000000" w:themeColor="text1"/>
        </w:rPr>
        <w:t xml:space="preserve">  </w:t>
      </w:r>
      <w:r w:rsidR="00783670" w:rsidRPr="00416A03">
        <w:rPr>
          <w:rFonts w:ascii="Times New Roman" w:eastAsia="標楷體" w:hAnsi="Times New Roman" w:cs="Times New Roman"/>
          <w:color w:val="000000" w:themeColor="text1"/>
        </w:rPr>
        <w:br/>
      </w:r>
      <w:r w:rsidR="00783670" w:rsidRPr="00416A03">
        <w:rPr>
          <w:rFonts w:ascii="Times New Roman" w:eastAsia="標楷體" w:hAnsi="Times New Roman" w:cs="Times New Roman" w:hint="eastAsia"/>
          <w:color w:val="000000" w:themeColor="text1"/>
        </w:rPr>
        <w:t xml:space="preserve">  </w:t>
      </w:r>
      <w:r w:rsidR="00494902" w:rsidRPr="00416A03">
        <w:rPr>
          <w:rFonts w:ascii="Times New Roman" w:eastAsia="標楷體" w:hAnsi="Times New Roman" w:cs="Times New Roman"/>
          <w:color w:val="000000" w:themeColor="text1"/>
        </w:rPr>
        <w:t>2021 (</w:t>
      </w:r>
      <w:r w:rsidR="00490218" w:rsidRPr="00416A03">
        <w:rPr>
          <w:rFonts w:ascii="Times New Roman" w:eastAsia="標楷體" w:hAnsi="Times New Roman" w:cs="Times New Roman"/>
          <w:color w:val="000000" w:themeColor="text1"/>
          <w:kern w:val="0"/>
        </w:rPr>
        <w:t>the academic year of first-year undergraduate admission</w:t>
      </w:r>
      <w:r w:rsidR="00494902" w:rsidRPr="00416A03">
        <w:rPr>
          <w:rFonts w:ascii="Times New Roman" w:eastAsia="標楷體" w:hAnsi="Times New Roman" w:cs="Times New Roman"/>
          <w:color w:val="000000" w:themeColor="text1"/>
        </w:rPr>
        <w:t>):</w:t>
      </w:r>
    </w:p>
    <w:p w:rsidR="00494902" w:rsidRPr="00416A03" w:rsidRDefault="00494902" w:rsidP="00494902">
      <w:pPr>
        <w:pStyle w:val="a3"/>
        <w:numPr>
          <w:ilvl w:val="0"/>
          <w:numId w:val="23"/>
        </w:numPr>
        <w:ind w:leftChars="0"/>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The average academic grade from the previous academic year is 80 or above.</w:t>
      </w:r>
    </w:p>
    <w:p w:rsidR="00494902" w:rsidRPr="00416A03" w:rsidRDefault="00494902" w:rsidP="00494902">
      <w:pPr>
        <w:pStyle w:val="a3"/>
        <w:numPr>
          <w:ilvl w:val="0"/>
          <w:numId w:val="23"/>
        </w:numPr>
        <w:ind w:leftChars="0"/>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Students shall </w:t>
      </w:r>
      <w:r w:rsidR="00310A5D" w:rsidRPr="00416A03">
        <w:rPr>
          <w:rFonts w:ascii="Times New Roman" w:eastAsia="標楷體" w:hAnsi="Times New Roman" w:cs="Times New Roman"/>
          <w:color w:val="000000" w:themeColor="text1"/>
        </w:rPr>
        <w:t xml:space="preserve">have </w:t>
      </w:r>
      <w:r w:rsidRPr="00416A03">
        <w:rPr>
          <w:rFonts w:ascii="Times New Roman" w:eastAsia="標楷體" w:hAnsi="Times New Roman" w:cs="Times New Roman"/>
          <w:color w:val="000000" w:themeColor="text1"/>
        </w:rPr>
        <w:t xml:space="preserve">good conduct and shall not have received </w:t>
      </w:r>
      <w:r w:rsidR="00310A5D" w:rsidRPr="00416A03">
        <w:rPr>
          <w:rFonts w:ascii="Times New Roman" w:eastAsia="標楷體" w:hAnsi="Times New Roman" w:cs="Times New Roman"/>
          <w:color w:val="000000" w:themeColor="text1"/>
          <w:kern w:val="0"/>
        </w:rPr>
        <w:t>a</w:t>
      </w:r>
      <w:r w:rsidRPr="00416A03">
        <w:rPr>
          <w:rFonts w:ascii="Times New Roman" w:eastAsia="標楷體" w:hAnsi="Times New Roman" w:cs="Times New Roman"/>
          <w:color w:val="000000" w:themeColor="text1"/>
        </w:rPr>
        <w:t xml:space="preserve"> demerit </w:t>
      </w:r>
      <w:r w:rsidR="00310A5D" w:rsidRPr="00416A03">
        <w:rPr>
          <w:rFonts w:ascii="Times New Roman" w:eastAsia="標楷體" w:hAnsi="Times New Roman" w:cs="Times New Roman"/>
          <w:color w:val="000000" w:themeColor="text1"/>
          <w:kern w:val="0"/>
        </w:rPr>
        <w:t xml:space="preserve">or higher punishment </w:t>
      </w:r>
      <w:r w:rsidRPr="00416A03">
        <w:rPr>
          <w:rFonts w:ascii="Times New Roman" w:eastAsia="標楷體" w:hAnsi="Times New Roman" w:cs="Times New Roman"/>
          <w:color w:val="000000" w:themeColor="text1"/>
        </w:rPr>
        <w:t>in the previous academic year.</w:t>
      </w:r>
    </w:p>
    <w:p w:rsidR="00783670" w:rsidRPr="00416A03" w:rsidRDefault="00494902" w:rsidP="00A15E87">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3</w:t>
      </w:r>
      <w:r w:rsidRPr="00416A03">
        <w:rPr>
          <w:rFonts w:ascii="Times New Roman" w:eastAsia="標楷體" w:hAnsi="Times New Roman" w:cs="Times New Roman"/>
          <w:color w:val="000000" w:themeColor="text1"/>
        </w:rPr>
        <w:t xml:space="preserve">. </w:t>
      </w:r>
      <w:r w:rsidR="00A15E87" w:rsidRPr="00416A03">
        <w:rPr>
          <w:rFonts w:ascii="Times New Roman" w:eastAsia="標楷體" w:hAnsi="Times New Roman" w:cs="Times New Roman"/>
          <w:color w:val="000000" w:themeColor="text1"/>
        </w:rPr>
        <w:t xml:space="preserve">Students who participate in government-approved international competitions or exhibitions, </w:t>
      </w:r>
      <w:r w:rsidR="00783670" w:rsidRPr="00416A03">
        <w:rPr>
          <w:rFonts w:ascii="Times New Roman" w:eastAsia="標楷體" w:hAnsi="Times New Roman" w:cs="Times New Roman" w:hint="eastAsia"/>
          <w:color w:val="000000" w:themeColor="text1"/>
        </w:rPr>
        <w:t xml:space="preserve">       </w:t>
      </w:r>
    </w:p>
    <w:p w:rsidR="00783670" w:rsidRPr="00416A03" w:rsidRDefault="00783670" w:rsidP="00A15E87">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A15E87" w:rsidRPr="00416A03">
        <w:rPr>
          <w:rFonts w:ascii="Times New Roman" w:eastAsia="標楷體" w:hAnsi="Times New Roman" w:cs="Times New Roman"/>
          <w:color w:val="000000" w:themeColor="text1"/>
        </w:rPr>
        <w:t>achieve a ranking within the top</w:t>
      </w:r>
      <w:r w:rsidRPr="00416A03">
        <w:rPr>
          <w:rFonts w:ascii="Times New Roman" w:eastAsia="標楷體" w:hAnsi="Times New Roman" w:cs="Times New Roman" w:hint="eastAsia"/>
          <w:color w:val="000000" w:themeColor="text1"/>
        </w:rPr>
        <w:t xml:space="preserve"> </w:t>
      </w:r>
      <w:r w:rsidR="00D24F7B" w:rsidRPr="00416A03">
        <w:rPr>
          <w:rFonts w:ascii="Times New Roman" w:eastAsia="標楷體" w:hAnsi="Times New Roman" w:cs="Times New Roman"/>
          <w:color w:val="000000" w:themeColor="text1"/>
        </w:rPr>
        <w:t>five</w:t>
      </w:r>
      <w:r w:rsidR="00A15E87" w:rsidRPr="00416A03">
        <w:rPr>
          <w:rFonts w:ascii="Times New Roman" w:eastAsia="標楷體" w:hAnsi="Times New Roman" w:cs="Times New Roman"/>
          <w:color w:val="000000" w:themeColor="text1"/>
        </w:rPr>
        <w:t xml:space="preserve"> places or </w:t>
      </w:r>
      <w:r w:rsidR="0038272F" w:rsidRPr="00416A03">
        <w:rPr>
          <w:rFonts w:ascii="Times New Roman" w:eastAsia="標楷體" w:hAnsi="Times New Roman" w:cs="Times New Roman"/>
          <w:color w:val="000000" w:themeColor="text1"/>
        </w:rPr>
        <w:t xml:space="preserve">an </w:t>
      </w:r>
      <w:r w:rsidR="00A15E87" w:rsidRPr="00416A03">
        <w:rPr>
          <w:rFonts w:ascii="Times New Roman" w:eastAsia="標楷體" w:hAnsi="Times New Roman" w:cs="Times New Roman"/>
          <w:color w:val="000000" w:themeColor="text1"/>
        </w:rPr>
        <w:t>equivalent</w:t>
      </w:r>
      <w:r w:rsidR="0038272F" w:rsidRPr="00416A03">
        <w:rPr>
          <w:rFonts w:ascii="Times New Roman" w:eastAsia="標楷體" w:hAnsi="Times New Roman" w:cs="Times New Roman"/>
          <w:color w:val="000000" w:themeColor="text1"/>
        </w:rPr>
        <w:t xml:space="preserve"> award</w:t>
      </w:r>
      <w:r w:rsidR="00A15E87" w:rsidRPr="00416A03">
        <w:rPr>
          <w:rFonts w:ascii="Times New Roman" w:eastAsia="標楷體" w:hAnsi="Times New Roman" w:cs="Times New Roman"/>
          <w:color w:val="000000" w:themeColor="text1"/>
        </w:rPr>
        <w:t xml:space="preserve">, and possess the </w:t>
      </w:r>
    </w:p>
    <w:p w:rsidR="00494902" w:rsidRPr="00416A03" w:rsidRDefault="00783670" w:rsidP="00A15E87">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A15E87" w:rsidRPr="00416A03">
        <w:rPr>
          <w:rFonts w:ascii="Times New Roman" w:eastAsia="標楷體" w:hAnsi="Times New Roman" w:cs="Times New Roman"/>
          <w:color w:val="000000" w:themeColor="text1"/>
        </w:rPr>
        <w:t>corresponding certificates, may apply for scholarships.</w:t>
      </w:r>
    </w:p>
    <w:p w:rsidR="00A15E87" w:rsidRPr="00416A03" w:rsidRDefault="00A15E87" w:rsidP="00A15E87">
      <w:pP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lastRenderedPageBreak/>
        <w:t>A</w:t>
      </w:r>
      <w:r w:rsidRPr="00416A03">
        <w:rPr>
          <w:rFonts w:ascii="Times New Roman" w:eastAsia="標楷體" w:hAnsi="Times New Roman" w:cs="Times New Roman"/>
          <w:color w:val="000000" w:themeColor="text1"/>
        </w:rPr>
        <w:t>rticle 5</w:t>
      </w:r>
      <w:r w:rsidR="00772355" w:rsidRPr="00416A03">
        <w:rPr>
          <w:rFonts w:ascii="Times New Roman" w:eastAsia="標楷體" w:hAnsi="Times New Roman" w:cs="Times New Roman"/>
          <w:color w:val="000000" w:themeColor="text1"/>
        </w:rPr>
        <w:t xml:space="preserve"> Students who meet one of the following </w:t>
      </w:r>
      <w:r w:rsidR="006428D0" w:rsidRPr="00416A03">
        <w:rPr>
          <w:rFonts w:ascii="Times New Roman" w:eastAsia="標楷體" w:hAnsi="Times New Roman" w:cs="Times New Roman"/>
          <w:color w:val="000000" w:themeColor="text1"/>
        </w:rPr>
        <w:t>qualifications</w:t>
      </w:r>
      <w:r w:rsidR="00772355" w:rsidRPr="00416A03">
        <w:rPr>
          <w:rFonts w:ascii="Times New Roman" w:eastAsia="標楷體" w:hAnsi="Times New Roman" w:cs="Times New Roman"/>
          <w:color w:val="000000" w:themeColor="text1"/>
        </w:rPr>
        <w:t xml:space="preserve"> may apply for subsidies:</w:t>
      </w:r>
    </w:p>
    <w:p w:rsidR="00783670" w:rsidRPr="00416A03" w:rsidRDefault="00A15E87" w:rsidP="006D362B">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1</w:t>
      </w:r>
      <w:r w:rsidRPr="00416A03">
        <w:rPr>
          <w:rFonts w:ascii="Times New Roman" w:eastAsia="標楷體" w:hAnsi="Times New Roman" w:cs="Times New Roman"/>
          <w:color w:val="000000" w:themeColor="text1"/>
        </w:rPr>
        <w:t xml:space="preserve">. </w:t>
      </w:r>
      <w:r w:rsidR="006D362B" w:rsidRPr="00416A03">
        <w:rPr>
          <w:rFonts w:ascii="Times New Roman" w:eastAsia="標楷體" w:hAnsi="Times New Roman" w:cs="Times New Roman"/>
          <w:color w:val="000000" w:themeColor="text1"/>
        </w:rPr>
        <w:t xml:space="preserve">The following provisions apply to students who enrolled in or after the academic year 2022 </w:t>
      </w:r>
      <w:r w:rsidR="00783670" w:rsidRPr="00416A03">
        <w:rPr>
          <w:rFonts w:ascii="Times New Roman" w:eastAsia="標楷體" w:hAnsi="Times New Roman" w:cs="Times New Roman" w:hint="eastAsia"/>
          <w:color w:val="000000" w:themeColor="text1"/>
        </w:rPr>
        <w:t xml:space="preserve"> </w:t>
      </w:r>
    </w:p>
    <w:p w:rsidR="00A15E87" w:rsidRPr="00416A03" w:rsidRDefault="00783670" w:rsidP="006D362B">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 xml:space="preserve">  </w:t>
      </w:r>
      <w:r w:rsidR="006D362B" w:rsidRPr="00416A03">
        <w:rPr>
          <w:rFonts w:ascii="Times New Roman" w:eastAsia="標楷體" w:hAnsi="Times New Roman" w:cs="Times New Roman"/>
          <w:color w:val="000000" w:themeColor="text1"/>
        </w:rPr>
        <w:t>(</w:t>
      </w:r>
      <w:r w:rsidR="00F94227" w:rsidRPr="00416A03">
        <w:rPr>
          <w:rFonts w:ascii="Times New Roman" w:eastAsia="標楷體" w:hAnsi="Times New Roman" w:cs="Times New Roman"/>
          <w:color w:val="000000" w:themeColor="text1"/>
          <w:kern w:val="0"/>
        </w:rPr>
        <w:t>the academic year of first-year undergraduate admission</w:t>
      </w:r>
      <w:r w:rsidR="006D362B" w:rsidRPr="00416A03">
        <w:rPr>
          <w:rFonts w:ascii="Times New Roman" w:eastAsia="標楷體" w:hAnsi="Times New Roman" w:cs="Times New Roman"/>
          <w:color w:val="000000" w:themeColor="text1"/>
        </w:rPr>
        <w:t>):</w:t>
      </w:r>
    </w:p>
    <w:p w:rsidR="00A15E87" w:rsidRPr="00416A03" w:rsidRDefault="006D362B" w:rsidP="006D362B">
      <w:pPr>
        <w:pStyle w:val="a3"/>
        <w:numPr>
          <w:ilvl w:val="0"/>
          <w:numId w:val="24"/>
        </w:numPr>
        <w:ind w:leftChars="0"/>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The average academic grade from the previous academic year is 80 </w:t>
      </w:r>
      <w:r w:rsidR="00911674" w:rsidRPr="00416A03">
        <w:rPr>
          <w:rFonts w:ascii="Times New Roman" w:eastAsia="標楷體" w:hAnsi="Times New Roman" w:cs="Times New Roman"/>
          <w:color w:val="000000" w:themeColor="text1"/>
          <w:kern w:val="0"/>
        </w:rPr>
        <w:t>or</w:t>
      </w:r>
      <w:r w:rsidRPr="00416A03">
        <w:rPr>
          <w:rFonts w:ascii="Times New Roman" w:eastAsia="標楷體" w:hAnsi="Times New Roman" w:cs="Times New Roman"/>
          <w:color w:val="000000" w:themeColor="text1"/>
          <w:kern w:val="0"/>
        </w:rPr>
        <w:t xml:space="preserve"> above, but the rank </w:t>
      </w:r>
      <w:r w:rsidR="00375CE9" w:rsidRPr="00416A03">
        <w:rPr>
          <w:rFonts w:ascii="Times New Roman" w:eastAsia="標楷體" w:hAnsi="Times New Roman" w:cs="Times New Roman"/>
          <w:color w:val="000000" w:themeColor="text1"/>
          <w:kern w:val="0"/>
        </w:rPr>
        <w:t xml:space="preserve">is below </w:t>
      </w:r>
      <w:r w:rsidRPr="00416A03">
        <w:rPr>
          <w:rFonts w:ascii="Times New Roman" w:eastAsia="標楷體" w:hAnsi="Times New Roman" w:cs="Times New Roman"/>
          <w:color w:val="000000" w:themeColor="text1"/>
          <w:kern w:val="0"/>
        </w:rPr>
        <w:t>the top 50% of the class; alternatively, the average academic grade is 70 or above but below 80.</w:t>
      </w:r>
    </w:p>
    <w:p w:rsidR="006D362B" w:rsidRPr="00416A03" w:rsidRDefault="006D362B" w:rsidP="006D362B">
      <w:pPr>
        <w:pStyle w:val="a3"/>
        <w:numPr>
          <w:ilvl w:val="0"/>
          <w:numId w:val="24"/>
        </w:numPr>
        <w:ind w:leftChars="0"/>
        <w:jc w:val="both"/>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Students shall </w:t>
      </w:r>
      <w:r w:rsidR="0056788E" w:rsidRPr="00416A03">
        <w:rPr>
          <w:rFonts w:ascii="Times New Roman" w:eastAsia="標楷體" w:hAnsi="Times New Roman" w:cs="Times New Roman"/>
          <w:color w:val="000000" w:themeColor="text1"/>
        </w:rPr>
        <w:t>have</w:t>
      </w:r>
      <w:r w:rsidRPr="00416A03">
        <w:rPr>
          <w:rFonts w:ascii="Times New Roman" w:eastAsia="標楷體" w:hAnsi="Times New Roman" w:cs="Times New Roman"/>
          <w:color w:val="000000" w:themeColor="text1"/>
        </w:rPr>
        <w:t xml:space="preserve"> good conduct and shall not have received </w:t>
      </w:r>
      <w:r w:rsidR="0056788E" w:rsidRPr="00416A03">
        <w:rPr>
          <w:rFonts w:ascii="Times New Roman" w:eastAsia="標楷體" w:hAnsi="Times New Roman" w:cs="Times New Roman"/>
          <w:color w:val="000000" w:themeColor="text1"/>
          <w:kern w:val="0"/>
        </w:rPr>
        <w:t>a</w:t>
      </w:r>
      <w:r w:rsidR="0056788E" w:rsidRPr="00416A03">
        <w:rPr>
          <w:rFonts w:ascii="Times New Roman" w:eastAsia="標楷體" w:hAnsi="Times New Roman" w:cs="Times New Roman"/>
          <w:color w:val="000000" w:themeColor="text1"/>
        </w:rPr>
        <w:t xml:space="preserve"> </w:t>
      </w:r>
      <w:r w:rsidRPr="00416A03">
        <w:rPr>
          <w:rFonts w:ascii="Times New Roman" w:eastAsia="標楷體" w:hAnsi="Times New Roman" w:cs="Times New Roman"/>
          <w:color w:val="000000" w:themeColor="text1"/>
        </w:rPr>
        <w:t xml:space="preserve">demerit </w:t>
      </w:r>
      <w:r w:rsidR="0056788E" w:rsidRPr="00416A03">
        <w:rPr>
          <w:rFonts w:ascii="Times New Roman" w:eastAsia="標楷體" w:hAnsi="Times New Roman" w:cs="Times New Roman"/>
          <w:color w:val="000000" w:themeColor="text1"/>
          <w:kern w:val="0"/>
        </w:rPr>
        <w:t xml:space="preserve">or higher punishment </w:t>
      </w:r>
      <w:r w:rsidRPr="00416A03">
        <w:rPr>
          <w:rFonts w:ascii="Times New Roman" w:eastAsia="標楷體" w:hAnsi="Times New Roman" w:cs="Times New Roman"/>
          <w:color w:val="000000" w:themeColor="text1"/>
        </w:rPr>
        <w:t>in the previous academic year.</w:t>
      </w:r>
    </w:p>
    <w:p w:rsidR="006D362B" w:rsidRPr="00416A03" w:rsidRDefault="00D22E00" w:rsidP="00BF3499">
      <w:pPr>
        <w:pStyle w:val="a3"/>
        <w:numPr>
          <w:ilvl w:val="0"/>
          <w:numId w:val="24"/>
        </w:numPr>
        <w:ind w:leftChars="0"/>
        <w:jc w:val="both"/>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Subsidy quota: As of </w:t>
      </w:r>
      <w:proofErr w:type="gramStart"/>
      <w:r w:rsidRPr="00416A03">
        <w:rPr>
          <w:rFonts w:ascii="Times New Roman" w:eastAsia="標楷體" w:hAnsi="Times New Roman" w:cs="Times New Roman"/>
          <w:color w:val="000000" w:themeColor="text1"/>
        </w:rPr>
        <w:t>July 31</w:t>
      </w:r>
      <w:proofErr w:type="gramEnd"/>
      <w:r w:rsidRPr="00416A03">
        <w:rPr>
          <w:rFonts w:ascii="Times New Roman" w:eastAsia="標楷體" w:hAnsi="Times New Roman" w:cs="Times New Roman"/>
          <w:color w:val="000000" w:themeColor="text1"/>
        </w:rPr>
        <w:t xml:space="preserve"> of the current academic year, after deducting the number of students receiving scholarships from the total number of students with disabilities (</w:t>
      </w:r>
      <w:r w:rsidR="001A5441" w:rsidRPr="00416A03">
        <w:rPr>
          <w:rFonts w:ascii="Times New Roman" w:eastAsia="標楷體" w:hAnsi="Times New Roman" w:cs="Times New Roman"/>
          <w:color w:val="000000" w:themeColor="text1"/>
        </w:rPr>
        <w:t>based on the total number of students admitted</w:t>
      </w:r>
      <w:r w:rsidRPr="00416A03">
        <w:rPr>
          <w:rFonts w:ascii="Times New Roman" w:eastAsia="標楷體" w:hAnsi="Times New Roman" w:cs="Times New Roman"/>
          <w:color w:val="000000" w:themeColor="text1"/>
        </w:rPr>
        <w:t xml:space="preserve"> in or after the academic year 2022, </w:t>
      </w:r>
      <w:r w:rsidR="001A5441" w:rsidRPr="00416A03">
        <w:rPr>
          <w:rFonts w:ascii="Times New Roman" w:eastAsia="標楷體" w:hAnsi="Times New Roman" w:cs="Times New Roman"/>
          <w:color w:val="000000" w:themeColor="text1"/>
        </w:rPr>
        <w:t xml:space="preserve">with </w:t>
      </w:r>
      <w:r w:rsidRPr="00416A03">
        <w:rPr>
          <w:rFonts w:ascii="Times New Roman" w:eastAsia="標楷體" w:hAnsi="Times New Roman" w:cs="Times New Roman"/>
          <w:color w:val="000000" w:themeColor="text1"/>
        </w:rPr>
        <w:t>valid student status</w:t>
      </w:r>
      <w:r w:rsidR="0051385A" w:rsidRPr="00416A03">
        <w:rPr>
          <w:rFonts w:ascii="Times New Roman" w:eastAsia="標楷體" w:hAnsi="Times New Roman" w:cs="Times New Roman" w:hint="eastAsia"/>
          <w:color w:val="000000" w:themeColor="text1"/>
        </w:rPr>
        <w:t xml:space="preserve"> </w:t>
      </w:r>
      <w:r w:rsidRPr="00416A03">
        <w:rPr>
          <w:rFonts w:ascii="Times New Roman" w:eastAsia="標楷體" w:hAnsi="Times New Roman" w:cs="Times New Roman"/>
          <w:color w:val="000000" w:themeColor="text1"/>
        </w:rPr>
        <w:t xml:space="preserve">and not on leave of absence), if the resulting number of students with disabilities is </w:t>
      </w:r>
      <w:r w:rsidR="004E5571" w:rsidRPr="00416A03">
        <w:rPr>
          <w:rFonts w:ascii="Times New Roman" w:eastAsia="標楷體" w:hAnsi="Times New Roman" w:cs="Times New Roman"/>
          <w:color w:val="000000" w:themeColor="text1"/>
        </w:rPr>
        <w:t xml:space="preserve">three </w:t>
      </w:r>
      <w:r w:rsidRPr="00416A03">
        <w:rPr>
          <w:rFonts w:ascii="Times New Roman" w:eastAsia="標楷體" w:hAnsi="Times New Roman" w:cs="Times New Roman"/>
          <w:color w:val="000000" w:themeColor="text1"/>
        </w:rPr>
        <w:t>or fewer, one student may be subsidized. If the resulting number is more than 3, one additional student may be subsidized for every additional group of</w:t>
      </w:r>
      <w:r w:rsidR="001755C3" w:rsidRPr="00416A03">
        <w:rPr>
          <w:rFonts w:ascii="Times New Roman" w:eastAsia="標楷體" w:hAnsi="Times New Roman" w:cs="Times New Roman"/>
          <w:color w:val="000000" w:themeColor="text1"/>
        </w:rPr>
        <w:t xml:space="preserve"> three</w:t>
      </w:r>
      <w:r w:rsidRPr="00416A03">
        <w:rPr>
          <w:rFonts w:ascii="Times New Roman" w:eastAsia="標楷體" w:hAnsi="Times New Roman" w:cs="Times New Roman"/>
          <w:color w:val="000000" w:themeColor="text1"/>
        </w:rPr>
        <w:t xml:space="preserve"> students. If there are fewer than </w:t>
      </w:r>
      <w:r w:rsidR="001755C3" w:rsidRPr="00416A03">
        <w:rPr>
          <w:rFonts w:ascii="Times New Roman" w:eastAsia="標楷體" w:hAnsi="Times New Roman" w:cs="Times New Roman"/>
          <w:color w:val="000000" w:themeColor="text1"/>
        </w:rPr>
        <w:t>three</w:t>
      </w:r>
      <w:r w:rsidRPr="00416A03">
        <w:rPr>
          <w:rFonts w:ascii="Times New Roman" w:eastAsia="標楷體" w:hAnsi="Times New Roman" w:cs="Times New Roman"/>
          <w:color w:val="000000" w:themeColor="text1"/>
        </w:rPr>
        <w:t xml:space="preserve"> students remaining, one additional student may still be subsidized.</w:t>
      </w:r>
      <w:r w:rsidR="00BF3499" w:rsidRPr="00416A03">
        <w:rPr>
          <w:rFonts w:ascii="Times New Roman" w:eastAsia="標楷體" w:hAnsi="Times New Roman" w:cs="Times New Roman"/>
          <w:color w:val="000000" w:themeColor="text1"/>
        </w:rPr>
        <w:t xml:space="preserve"> If the number of </w:t>
      </w:r>
      <w:r w:rsidR="004E5571" w:rsidRPr="00416A03">
        <w:rPr>
          <w:rFonts w:ascii="Times New Roman" w:eastAsia="標楷體" w:hAnsi="Times New Roman" w:cs="Times New Roman"/>
          <w:color w:val="000000" w:themeColor="text1"/>
        </w:rPr>
        <w:t xml:space="preserve">qualified </w:t>
      </w:r>
      <w:r w:rsidR="00BF3499" w:rsidRPr="00416A03">
        <w:rPr>
          <w:rFonts w:ascii="Times New Roman" w:eastAsia="標楷體" w:hAnsi="Times New Roman" w:cs="Times New Roman"/>
          <w:color w:val="000000" w:themeColor="text1"/>
        </w:rPr>
        <w:t>applicants exceeds the subsidy quota, priority will be given to the following regulations in sequence:</w:t>
      </w:r>
    </w:p>
    <w:p w:rsidR="00772355" w:rsidRPr="00416A03" w:rsidRDefault="00884FEC" w:rsidP="00884FEC">
      <w:pPr>
        <w:pStyle w:val="a3"/>
        <w:numPr>
          <w:ilvl w:val="0"/>
          <w:numId w:val="25"/>
        </w:numPr>
        <w:ind w:leftChars="0" w:left="1820" w:hanging="373"/>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Priority will be given in sequence to students with higher average academic grades from the previous academic year</w:t>
      </w:r>
      <w:r w:rsidR="00BF3499" w:rsidRPr="00416A03">
        <w:rPr>
          <w:rFonts w:ascii="Times New Roman" w:eastAsia="標楷體" w:hAnsi="Times New Roman" w:cs="Times New Roman"/>
          <w:color w:val="000000" w:themeColor="text1"/>
        </w:rPr>
        <w:t>.</w:t>
      </w:r>
    </w:p>
    <w:p w:rsidR="00884FEC" w:rsidRPr="00416A03" w:rsidRDefault="00884FEC" w:rsidP="00884FEC">
      <w:pPr>
        <w:pStyle w:val="a3"/>
        <w:numPr>
          <w:ilvl w:val="0"/>
          <w:numId w:val="25"/>
        </w:numPr>
        <w:ind w:leftChars="0" w:left="1820" w:hanging="373"/>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Priority will be given to students with </w:t>
      </w:r>
      <w:r w:rsidR="00911674" w:rsidRPr="00416A03">
        <w:rPr>
          <w:rFonts w:ascii="Times New Roman" w:eastAsia="標楷體" w:hAnsi="Times New Roman" w:cs="Times New Roman"/>
          <w:color w:val="000000" w:themeColor="text1"/>
        </w:rPr>
        <w:t>higher</w:t>
      </w:r>
      <w:r w:rsidRPr="00416A03">
        <w:rPr>
          <w:rFonts w:ascii="Times New Roman" w:eastAsia="標楷體" w:hAnsi="Times New Roman" w:cs="Times New Roman"/>
          <w:color w:val="000000" w:themeColor="text1"/>
        </w:rPr>
        <w:t xml:space="preserve"> conduct </w:t>
      </w:r>
      <w:r w:rsidR="00911674" w:rsidRPr="00416A03">
        <w:rPr>
          <w:rFonts w:ascii="Times New Roman" w:eastAsia="標楷體" w:hAnsi="Times New Roman" w:cs="Times New Roman"/>
          <w:color w:val="000000" w:themeColor="text1"/>
        </w:rPr>
        <w:t>grades</w:t>
      </w:r>
      <w:r w:rsidRPr="00416A03">
        <w:rPr>
          <w:rFonts w:ascii="Times New Roman" w:eastAsia="標楷體" w:hAnsi="Times New Roman" w:cs="Times New Roman"/>
          <w:color w:val="000000" w:themeColor="text1"/>
        </w:rPr>
        <w:t xml:space="preserve"> if academic grades are the same.</w:t>
      </w:r>
    </w:p>
    <w:p w:rsidR="00884FEC" w:rsidRPr="00416A03" w:rsidRDefault="00884FEC" w:rsidP="00884FEC">
      <w:pPr>
        <w:pStyle w:val="a3"/>
        <w:numPr>
          <w:ilvl w:val="0"/>
          <w:numId w:val="25"/>
        </w:numPr>
        <w:ind w:leftChars="0" w:left="1820" w:hanging="373"/>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Priority will be given to students with lower annual household incomes if </w:t>
      </w:r>
      <w:r w:rsidR="00911674" w:rsidRPr="00416A03">
        <w:rPr>
          <w:rFonts w:ascii="Times New Roman" w:eastAsia="標楷體" w:hAnsi="Times New Roman" w:cs="Times New Roman"/>
          <w:color w:val="000000" w:themeColor="text1"/>
        </w:rPr>
        <w:t xml:space="preserve">both </w:t>
      </w:r>
      <w:r w:rsidRPr="00416A03">
        <w:rPr>
          <w:rFonts w:ascii="Times New Roman" w:eastAsia="標楷體" w:hAnsi="Times New Roman" w:cs="Times New Roman"/>
          <w:color w:val="000000" w:themeColor="text1"/>
        </w:rPr>
        <w:t xml:space="preserve">academic grades and conduct </w:t>
      </w:r>
      <w:r w:rsidR="00911674" w:rsidRPr="00416A03">
        <w:rPr>
          <w:rFonts w:ascii="Times New Roman" w:eastAsia="標楷體" w:hAnsi="Times New Roman" w:cs="Times New Roman"/>
          <w:color w:val="000000" w:themeColor="text1"/>
        </w:rPr>
        <w:t>grades</w:t>
      </w:r>
      <w:r w:rsidRPr="00416A03">
        <w:rPr>
          <w:rFonts w:ascii="Times New Roman" w:eastAsia="標楷體" w:hAnsi="Times New Roman" w:cs="Times New Roman"/>
          <w:color w:val="000000" w:themeColor="text1"/>
        </w:rPr>
        <w:t xml:space="preserve"> are the same.</w:t>
      </w:r>
    </w:p>
    <w:p w:rsidR="00884FEC" w:rsidRPr="00416A03" w:rsidRDefault="000970FD" w:rsidP="000970FD">
      <w:pPr>
        <w:pStyle w:val="a3"/>
        <w:numPr>
          <w:ilvl w:val="0"/>
          <w:numId w:val="25"/>
        </w:numPr>
        <w:ind w:leftChars="0" w:left="1820" w:hanging="373"/>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The Student Scholarship and </w:t>
      </w:r>
      <w:r w:rsidR="00CC37C6" w:rsidRPr="00416A03">
        <w:rPr>
          <w:rFonts w:ascii="Times New Roman" w:eastAsia="標楷體" w:hAnsi="Times New Roman" w:cs="Times New Roman"/>
          <w:color w:val="000000" w:themeColor="text1"/>
        </w:rPr>
        <w:t xml:space="preserve">Financial Aid Review Committee </w:t>
      </w:r>
      <w:r w:rsidRPr="00416A03">
        <w:rPr>
          <w:rFonts w:ascii="Times New Roman" w:eastAsia="標楷體" w:hAnsi="Times New Roman" w:cs="Times New Roman"/>
          <w:color w:val="000000" w:themeColor="text1"/>
        </w:rPr>
        <w:t xml:space="preserve">will organize meetings to determine subsidization if academic grades, conduct </w:t>
      </w:r>
      <w:r w:rsidR="00911674" w:rsidRPr="00416A03">
        <w:rPr>
          <w:rFonts w:ascii="Times New Roman" w:eastAsia="標楷體" w:hAnsi="Times New Roman" w:cs="Times New Roman"/>
          <w:color w:val="000000" w:themeColor="text1"/>
        </w:rPr>
        <w:t>grades</w:t>
      </w:r>
      <w:r w:rsidRPr="00416A03">
        <w:rPr>
          <w:rFonts w:ascii="Times New Roman" w:eastAsia="標楷體" w:hAnsi="Times New Roman" w:cs="Times New Roman"/>
          <w:color w:val="000000" w:themeColor="text1"/>
        </w:rPr>
        <w:t>, and annual household incomes are all the same.</w:t>
      </w:r>
    </w:p>
    <w:p w:rsidR="0051385A" w:rsidRPr="00416A03" w:rsidRDefault="00772355" w:rsidP="000970FD">
      <w:pPr>
        <w:ind w:left="709"/>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hint="eastAsia"/>
          <w:color w:val="000000" w:themeColor="text1"/>
          <w:kern w:val="0"/>
        </w:rPr>
        <w:t>2</w:t>
      </w:r>
      <w:r w:rsidRPr="00416A03">
        <w:rPr>
          <w:rFonts w:ascii="Times New Roman" w:eastAsia="標楷體" w:hAnsi="Times New Roman" w:cs="Times New Roman"/>
          <w:color w:val="000000" w:themeColor="text1"/>
          <w:kern w:val="0"/>
        </w:rPr>
        <w:t xml:space="preserve">. </w:t>
      </w:r>
      <w:r w:rsidR="000970FD" w:rsidRPr="00416A03">
        <w:rPr>
          <w:rFonts w:ascii="Times New Roman" w:eastAsia="標楷體" w:hAnsi="Times New Roman" w:cs="Times New Roman"/>
          <w:color w:val="000000" w:themeColor="text1"/>
          <w:kern w:val="0"/>
        </w:rPr>
        <w:t xml:space="preserve">The following provisions apply to students who enrolled in or before the academic year </w:t>
      </w:r>
    </w:p>
    <w:p w:rsidR="00772355" w:rsidRPr="00416A03" w:rsidRDefault="0051385A" w:rsidP="000970FD">
      <w:pPr>
        <w:ind w:left="709"/>
        <w:jc w:val="both"/>
        <w:rPr>
          <w:rFonts w:ascii="Times New Roman" w:eastAsia="標楷體" w:hAnsi="Times New Roman" w:cs="Times New Roman"/>
          <w:color w:val="000000" w:themeColor="text1"/>
          <w:kern w:val="0"/>
        </w:rPr>
      </w:pPr>
      <w:r w:rsidRPr="00416A03">
        <w:rPr>
          <w:rFonts w:ascii="Times New Roman" w:eastAsia="標楷體" w:hAnsi="Times New Roman" w:cs="Times New Roman" w:hint="eastAsia"/>
          <w:color w:val="000000" w:themeColor="text1"/>
          <w:kern w:val="0"/>
        </w:rPr>
        <w:t xml:space="preserve">  </w:t>
      </w:r>
      <w:r w:rsidR="000970FD" w:rsidRPr="00416A03">
        <w:rPr>
          <w:rFonts w:ascii="Times New Roman" w:eastAsia="標楷體" w:hAnsi="Times New Roman" w:cs="Times New Roman"/>
          <w:color w:val="000000" w:themeColor="text1"/>
          <w:kern w:val="0"/>
        </w:rPr>
        <w:t>2021 (</w:t>
      </w:r>
      <w:r w:rsidR="0065682B" w:rsidRPr="00416A03">
        <w:rPr>
          <w:rFonts w:ascii="Times New Roman" w:eastAsia="標楷體" w:hAnsi="Times New Roman" w:cs="Times New Roman"/>
          <w:color w:val="000000" w:themeColor="text1"/>
          <w:kern w:val="0"/>
        </w:rPr>
        <w:t>the academic year of first-year undergraduate admission</w:t>
      </w:r>
      <w:r w:rsidR="000970FD" w:rsidRPr="00416A03">
        <w:rPr>
          <w:rFonts w:ascii="Times New Roman" w:eastAsia="標楷體" w:hAnsi="Times New Roman" w:cs="Times New Roman"/>
          <w:color w:val="000000" w:themeColor="text1"/>
          <w:kern w:val="0"/>
        </w:rPr>
        <w:t>):</w:t>
      </w:r>
    </w:p>
    <w:p w:rsidR="00F27405" w:rsidRPr="00416A03" w:rsidRDefault="00F27405" w:rsidP="00F27405">
      <w:pPr>
        <w:pStyle w:val="a3"/>
        <w:numPr>
          <w:ilvl w:val="0"/>
          <w:numId w:val="26"/>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The average academic grade from the previous academic year is 70 or above but below 80.</w:t>
      </w:r>
    </w:p>
    <w:p w:rsidR="00F27405" w:rsidRPr="00416A03" w:rsidRDefault="00F27405" w:rsidP="00F27405">
      <w:pPr>
        <w:pStyle w:val="a3"/>
        <w:numPr>
          <w:ilvl w:val="0"/>
          <w:numId w:val="26"/>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Students shall </w:t>
      </w:r>
      <w:r w:rsidR="00EE2C06" w:rsidRPr="00416A03">
        <w:rPr>
          <w:rFonts w:ascii="Times New Roman" w:eastAsia="標楷體" w:hAnsi="Times New Roman" w:cs="Times New Roman"/>
          <w:color w:val="000000" w:themeColor="text1"/>
          <w:kern w:val="0"/>
        </w:rPr>
        <w:t xml:space="preserve">have </w:t>
      </w:r>
      <w:r w:rsidRPr="00416A03">
        <w:rPr>
          <w:rFonts w:ascii="Times New Roman" w:eastAsia="標楷體" w:hAnsi="Times New Roman" w:cs="Times New Roman"/>
          <w:color w:val="000000" w:themeColor="text1"/>
          <w:kern w:val="0"/>
        </w:rPr>
        <w:t>good conduct and shall not have received</w:t>
      </w:r>
      <w:r w:rsidR="00EE2C06" w:rsidRPr="00416A03">
        <w:rPr>
          <w:rFonts w:ascii="Times New Roman" w:eastAsia="標楷體" w:hAnsi="Times New Roman" w:cs="Times New Roman"/>
          <w:color w:val="000000" w:themeColor="text1"/>
          <w:kern w:val="0"/>
        </w:rPr>
        <w:t xml:space="preserve"> a</w:t>
      </w:r>
      <w:r w:rsidR="00EE2C06" w:rsidRPr="00416A03">
        <w:rPr>
          <w:rFonts w:ascii="Times New Roman" w:eastAsia="標楷體" w:hAnsi="Times New Roman" w:cs="Times New Roman"/>
          <w:color w:val="000000" w:themeColor="text1"/>
        </w:rPr>
        <w:t xml:space="preserve"> demerit </w:t>
      </w:r>
      <w:r w:rsidR="00EE2C06" w:rsidRPr="00416A03">
        <w:rPr>
          <w:rFonts w:ascii="Times New Roman" w:eastAsia="標楷體" w:hAnsi="Times New Roman" w:cs="Times New Roman"/>
          <w:color w:val="000000" w:themeColor="text1"/>
          <w:kern w:val="0"/>
        </w:rPr>
        <w:t xml:space="preserve">or higher punishment </w:t>
      </w:r>
      <w:r w:rsidRPr="00416A03">
        <w:rPr>
          <w:rFonts w:ascii="Times New Roman" w:eastAsia="標楷體" w:hAnsi="Times New Roman" w:cs="Times New Roman"/>
          <w:color w:val="000000" w:themeColor="text1"/>
          <w:kern w:val="0"/>
        </w:rPr>
        <w:t>in the previous academic year.</w:t>
      </w:r>
    </w:p>
    <w:p w:rsidR="00F27405" w:rsidRPr="00416A03" w:rsidRDefault="00091139" w:rsidP="00F27405">
      <w:pPr>
        <w:pStyle w:val="a3"/>
        <w:numPr>
          <w:ilvl w:val="0"/>
          <w:numId w:val="26"/>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No </w:t>
      </w:r>
      <w:r w:rsidR="00F27405" w:rsidRPr="00416A03">
        <w:rPr>
          <w:rFonts w:ascii="Times New Roman" w:eastAsia="標楷體" w:hAnsi="Times New Roman" w:cs="Times New Roman"/>
          <w:color w:val="000000" w:themeColor="text1"/>
          <w:kern w:val="0"/>
        </w:rPr>
        <w:t xml:space="preserve">restriction </w:t>
      </w:r>
      <w:r w:rsidRPr="00416A03">
        <w:rPr>
          <w:rFonts w:ascii="Times New Roman" w:eastAsia="標楷體" w:hAnsi="Times New Roman" w:cs="Times New Roman"/>
          <w:color w:val="000000" w:themeColor="text1"/>
          <w:kern w:val="0"/>
        </w:rPr>
        <w:t xml:space="preserve">on the </w:t>
      </w:r>
      <w:r w:rsidR="00F27405" w:rsidRPr="00416A03">
        <w:rPr>
          <w:rFonts w:ascii="Times New Roman" w:eastAsia="標楷體" w:hAnsi="Times New Roman" w:cs="Times New Roman"/>
          <w:color w:val="000000" w:themeColor="text1"/>
          <w:kern w:val="0"/>
        </w:rPr>
        <w:t>subsidy quota.</w:t>
      </w:r>
    </w:p>
    <w:p w:rsidR="00001330" w:rsidRDefault="00772355" w:rsidP="00F27405">
      <w:pPr>
        <w:ind w:left="70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3</w:t>
      </w:r>
      <w:r w:rsidRPr="00416A03">
        <w:rPr>
          <w:rFonts w:ascii="Times New Roman" w:eastAsia="標楷體" w:hAnsi="Times New Roman" w:cs="Times New Roman"/>
          <w:color w:val="000000" w:themeColor="text1"/>
        </w:rPr>
        <w:t xml:space="preserve">. </w:t>
      </w:r>
      <w:r w:rsidR="00F27405" w:rsidRPr="00416A03">
        <w:rPr>
          <w:rFonts w:ascii="Times New Roman" w:eastAsia="標楷體" w:hAnsi="Times New Roman" w:cs="Times New Roman"/>
          <w:color w:val="000000" w:themeColor="text1"/>
        </w:rPr>
        <w:t xml:space="preserve">Students who participate in government-approved international competitions or exhibitions, </w:t>
      </w:r>
    </w:p>
    <w:p w:rsidR="00001330" w:rsidRDefault="00F27405" w:rsidP="00001330">
      <w:pPr>
        <w:ind w:left="709" w:firstLineChars="100" w:firstLine="240"/>
        <w:jc w:val="both"/>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achieve a ranking within the top </w:t>
      </w:r>
      <w:r w:rsidR="00717547" w:rsidRPr="00416A03">
        <w:rPr>
          <w:rFonts w:ascii="Times New Roman" w:eastAsia="標楷體" w:hAnsi="Times New Roman" w:cs="Times New Roman"/>
          <w:color w:val="000000" w:themeColor="text1"/>
        </w:rPr>
        <w:t xml:space="preserve">three </w:t>
      </w:r>
      <w:r w:rsidRPr="00416A03">
        <w:rPr>
          <w:rFonts w:ascii="Times New Roman" w:eastAsia="標楷體" w:hAnsi="Times New Roman" w:cs="Times New Roman"/>
          <w:color w:val="000000" w:themeColor="text1"/>
        </w:rPr>
        <w:t xml:space="preserve">places or </w:t>
      </w:r>
      <w:r w:rsidR="000572A4" w:rsidRPr="00416A03">
        <w:rPr>
          <w:rFonts w:ascii="Times New Roman" w:eastAsia="標楷體" w:hAnsi="Times New Roman" w:cs="Times New Roman"/>
          <w:color w:val="000000" w:themeColor="text1"/>
        </w:rPr>
        <w:t>an equivalent award</w:t>
      </w:r>
      <w:r w:rsidRPr="00416A03">
        <w:rPr>
          <w:rFonts w:ascii="Times New Roman" w:eastAsia="標楷體" w:hAnsi="Times New Roman" w:cs="Times New Roman"/>
          <w:color w:val="000000" w:themeColor="text1"/>
        </w:rPr>
        <w:t xml:space="preserve">, and possess the </w:t>
      </w:r>
    </w:p>
    <w:p w:rsidR="00772355" w:rsidRPr="00416A03" w:rsidRDefault="00F27405" w:rsidP="00001330">
      <w:pPr>
        <w:ind w:left="709" w:firstLineChars="100" w:firstLine="240"/>
        <w:jc w:val="both"/>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corresponding certificates, may apply for subsidies.</w:t>
      </w:r>
    </w:p>
    <w:p w:rsidR="00061016" w:rsidRDefault="00061016" w:rsidP="00061016">
      <w:pP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A</w:t>
      </w:r>
      <w:r w:rsidRPr="00416A03">
        <w:rPr>
          <w:rFonts w:ascii="Times New Roman" w:eastAsia="標楷體" w:hAnsi="Times New Roman" w:cs="Times New Roman"/>
          <w:color w:val="000000" w:themeColor="text1"/>
        </w:rPr>
        <w:t>rticle 6 Restrictions on the application for scholarships and subsidies:</w:t>
      </w:r>
    </w:p>
    <w:p w:rsidR="006E2412" w:rsidRDefault="006E2412" w:rsidP="006E2412">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1. </w:t>
      </w:r>
      <w:r w:rsidR="00911674" w:rsidRPr="006E2412">
        <w:rPr>
          <w:rFonts w:ascii="Times New Roman" w:eastAsia="標楷體" w:hAnsi="Times New Roman" w:cs="Times New Roman"/>
          <w:color w:val="000000" w:themeColor="text1"/>
          <w:kern w:val="0"/>
        </w:rPr>
        <w:t>Application</w:t>
      </w:r>
      <w:r w:rsidR="005E65A3" w:rsidRPr="006E2412">
        <w:rPr>
          <w:rFonts w:ascii="Times New Roman" w:eastAsia="標楷體" w:hAnsi="Times New Roman" w:cs="Times New Roman"/>
          <w:color w:val="000000" w:themeColor="text1"/>
          <w:kern w:val="0"/>
        </w:rPr>
        <w:t xml:space="preserve"> </w:t>
      </w:r>
      <w:r w:rsidR="00911674" w:rsidRPr="006E2412">
        <w:rPr>
          <w:rFonts w:ascii="Times New Roman" w:eastAsia="標楷體" w:hAnsi="Times New Roman" w:cs="Times New Roman"/>
          <w:color w:val="000000" w:themeColor="text1"/>
          <w:kern w:val="0"/>
        </w:rPr>
        <w:t>is</w:t>
      </w:r>
      <w:r w:rsidR="005E65A3" w:rsidRPr="006E2412">
        <w:rPr>
          <w:rFonts w:ascii="Times New Roman" w:eastAsia="標楷體" w:hAnsi="Times New Roman" w:cs="Times New Roman"/>
          <w:color w:val="000000" w:themeColor="text1"/>
          <w:kern w:val="0"/>
        </w:rPr>
        <w:t xml:space="preserve"> limited to once per academic year, and the </w:t>
      </w:r>
      <w:r w:rsidR="0059602E" w:rsidRPr="006E2412">
        <w:rPr>
          <w:rFonts w:ascii="Times New Roman" w:eastAsia="標楷體" w:hAnsi="Times New Roman" w:cs="Times New Roman"/>
          <w:color w:val="000000" w:themeColor="text1"/>
          <w:kern w:val="0"/>
        </w:rPr>
        <w:t xml:space="preserve">total </w:t>
      </w:r>
      <w:r w:rsidR="005E65A3" w:rsidRPr="006E2412">
        <w:rPr>
          <w:rFonts w:ascii="Times New Roman" w:eastAsia="標楷體" w:hAnsi="Times New Roman" w:cs="Times New Roman"/>
          <w:color w:val="000000" w:themeColor="text1"/>
          <w:kern w:val="0"/>
        </w:rPr>
        <w:t xml:space="preserve">number of </w:t>
      </w:r>
      <w:r w:rsidR="00DD2E23" w:rsidRPr="006E2412">
        <w:rPr>
          <w:rFonts w:ascii="Times New Roman" w:eastAsia="標楷體" w:hAnsi="Times New Roman" w:cs="Times New Roman"/>
          <w:color w:val="000000" w:themeColor="text1"/>
          <w:kern w:val="0"/>
        </w:rPr>
        <w:t xml:space="preserve">applications and </w:t>
      </w:r>
      <w:r>
        <w:rPr>
          <w:rFonts w:ascii="Times New Roman" w:eastAsia="標楷體" w:hAnsi="Times New Roman" w:cs="Times New Roman"/>
          <w:color w:val="000000" w:themeColor="text1"/>
          <w:kern w:val="0"/>
        </w:rPr>
        <w:br/>
      </w:r>
      <w:r>
        <w:rPr>
          <w:rFonts w:ascii="Times New Roman" w:eastAsia="標楷體" w:hAnsi="Times New Roman" w:cs="Times New Roman" w:hint="eastAsia"/>
          <w:color w:val="000000" w:themeColor="text1"/>
          <w:kern w:val="0"/>
        </w:rPr>
        <w:t xml:space="preserve">        </w:t>
      </w:r>
      <w:r w:rsidR="00DD2E23" w:rsidRPr="006E2412">
        <w:rPr>
          <w:rFonts w:ascii="Times New Roman" w:eastAsia="標楷體" w:hAnsi="Times New Roman" w:cs="Times New Roman"/>
          <w:color w:val="000000" w:themeColor="text1"/>
          <w:kern w:val="0"/>
        </w:rPr>
        <w:t xml:space="preserve">receipts of scholarships or subsidies </w:t>
      </w:r>
      <w:r w:rsidR="005E65A3" w:rsidRPr="006E2412">
        <w:rPr>
          <w:rFonts w:ascii="Times New Roman" w:eastAsia="標楷體" w:hAnsi="Times New Roman" w:cs="Times New Roman"/>
          <w:color w:val="000000" w:themeColor="text1"/>
          <w:kern w:val="0"/>
        </w:rPr>
        <w:t xml:space="preserve">during </w:t>
      </w:r>
      <w:r w:rsidR="00DD2E23" w:rsidRPr="006E2412">
        <w:rPr>
          <w:rFonts w:ascii="Times New Roman" w:eastAsia="標楷體" w:hAnsi="Times New Roman" w:cs="Times New Roman"/>
          <w:color w:val="000000" w:themeColor="text1"/>
          <w:kern w:val="0"/>
        </w:rPr>
        <w:t xml:space="preserve">the period of study </w:t>
      </w:r>
      <w:r w:rsidR="005E65A3" w:rsidRPr="006E2412">
        <w:rPr>
          <w:rFonts w:ascii="Times New Roman" w:eastAsia="標楷體" w:hAnsi="Times New Roman" w:cs="Times New Roman"/>
          <w:color w:val="000000" w:themeColor="text1"/>
          <w:kern w:val="0"/>
        </w:rPr>
        <w:t xml:space="preserve">shall not exceed the </w:t>
      </w:r>
      <w:r>
        <w:rPr>
          <w:rFonts w:ascii="Times New Roman" w:eastAsia="標楷體" w:hAnsi="Times New Roman" w:cs="Times New Roman"/>
          <w:color w:val="000000" w:themeColor="text1"/>
          <w:kern w:val="0"/>
        </w:rPr>
        <w:br/>
      </w:r>
      <w:r>
        <w:rPr>
          <w:rFonts w:ascii="Times New Roman" w:eastAsia="標楷體" w:hAnsi="Times New Roman" w:cs="Times New Roman" w:hint="eastAsia"/>
          <w:color w:val="000000" w:themeColor="text1"/>
          <w:kern w:val="0"/>
        </w:rPr>
        <w:lastRenderedPageBreak/>
        <w:t xml:space="preserve">       </w:t>
      </w:r>
      <w:r w:rsidR="005E65A3" w:rsidRPr="006E2412">
        <w:rPr>
          <w:rFonts w:ascii="Times New Roman" w:eastAsia="標楷體" w:hAnsi="Times New Roman" w:cs="Times New Roman"/>
          <w:color w:val="000000" w:themeColor="text1"/>
          <w:kern w:val="0"/>
        </w:rPr>
        <w:t>maximum period of study.</w:t>
      </w:r>
    </w:p>
    <w:p w:rsidR="006E2412" w:rsidRDefault="006E2412" w:rsidP="006E2412">
      <w:pP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 xml:space="preserve">     2. </w:t>
      </w:r>
      <w:r w:rsidR="00F75DB5" w:rsidRPr="006E2412">
        <w:rPr>
          <w:rFonts w:ascii="Times New Roman" w:eastAsia="標楷體" w:hAnsi="Times New Roman" w:cs="Times New Roman"/>
          <w:color w:val="000000" w:themeColor="text1"/>
          <w:kern w:val="0"/>
        </w:rPr>
        <w:t xml:space="preserve">Graduate students </w:t>
      </w:r>
      <w:r w:rsidR="005E65A3" w:rsidRPr="006E2412">
        <w:rPr>
          <w:rFonts w:ascii="Times New Roman" w:eastAsia="標楷體" w:hAnsi="Times New Roman" w:cs="Times New Roman"/>
          <w:color w:val="000000" w:themeColor="text1"/>
          <w:kern w:val="0"/>
        </w:rPr>
        <w:t>applying for scholarships or subsidies in accordance with the Directives</w:t>
      </w:r>
      <w:r>
        <w:rPr>
          <w:rFonts w:ascii="Times New Roman" w:eastAsia="標楷體" w:hAnsi="Times New Roman" w:cs="Times New Roman"/>
          <w:color w:val="000000" w:themeColor="text1"/>
          <w:kern w:val="0"/>
        </w:rPr>
        <w:t xml:space="preserve"> </w:t>
      </w:r>
    </w:p>
    <w:p w:rsidR="006E2412" w:rsidRPr="006E2412" w:rsidRDefault="005E65A3" w:rsidP="006E2412">
      <w:pPr>
        <w:ind w:firstLineChars="354" w:firstLine="850"/>
        <w:rPr>
          <w:rFonts w:ascii="Times New Roman" w:eastAsia="標楷體" w:hAnsi="Times New Roman" w:cs="Times New Roman"/>
          <w:color w:val="000000" w:themeColor="text1"/>
          <w:kern w:val="0"/>
        </w:rPr>
      </w:pPr>
      <w:r w:rsidRPr="006E2412">
        <w:rPr>
          <w:rFonts w:ascii="Times New Roman" w:eastAsia="標楷體" w:hAnsi="Times New Roman" w:cs="Times New Roman"/>
          <w:color w:val="000000" w:themeColor="text1"/>
          <w:kern w:val="0"/>
        </w:rPr>
        <w:t>shall take at least 12 credits per academic year.</w:t>
      </w:r>
    </w:p>
    <w:p w:rsidR="006E2412" w:rsidRDefault="006E2412" w:rsidP="006E2412">
      <w:pPr>
        <w:ind w:firstLineChars="236" w:firstLine="566"/>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 xml:space="preserve">3. </w:t>
      </w:r>
      <w:r w:rsidR="005C1B49" w:rsidRPr="006E2412">
        <w:rPr>
          <w:rFonts w:ascii="Times New Roman" w:eastAsia="標楷體" w:hAnsi="Times New Roman" w:cs="Times New Roman"/>
          <w:color w:val="000000" w:themeColor="text1"/>
          <w:kern w:val="0"/>
        </w:rPr>
        <w:t xml:space="preserve">Students eligible to apply for subsidies due to participation in competitions or exhibitions </w:t>
      </w:r>
    </w:p>
    <w:p w:rsidR="005E65A3" w:rsidRPr="006E2412" w:rsidRDefault="005C1B49" w:rsidP="006E2412">
      <w:pPr>
        <w:ind w:firstLineChars="336" w:firstLine="806"/>
        <w:rPr>
          <w:rFonts w:ascii="Times New Roman" w:eastAsia="標楷體" w:hAnsi="Times New Roman" w:cs="Times New Roman"/>
          <w:color w:val="000000" w:themeColor="text1"/>
        </w:rPr>
      </w:pPr>
      <w:r w:rsidRPr="006E2412">
        <w:rPr>
          <w:rFonts w:ascii="Times New Roman" w:eastAsia="標楷體" w:hAnsi="Times New Roman" w:cs="Times New Roman"/>
          <w:color w:val="000000" w:themeColor="text1"/>
          <w:kern w:val="0"/>
        </w:rPr>
        <w:t>are not subject to quota restrictions.</w:t>
      </w:r>
    </w:p>
    <w:p w:rsidR="005C1B49" w:rsidRPr="00416A03" w:rsidRDefault="005C1B49" w:rsidP="005C1B49">
      <w:pPr>
        <w:ind w:left="910" w:hangingChars="379" w:hanging="910"/>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A</w:t>
      </w:r>
      <w:r w:rsidRPr="00416A03">
        <w:rPr>
          <w:rFonts w:ascii="Times New Roman" w:eastAsia="標楷體" w:hAnsi="Times New Roman" w:cs="Times New Roman"/>
          <w:color w:val="000000" w:themeColor="text1"/>
        </w:rPr>
        <w:t>rticle 7 The categories and amounts of scholarships and subsidies are detailed in Table 1 and Table 2 in the appendix.</w:t>
      </w:r>
    </w:p>
    <w:p w:rsidR="005C1B49" w:rsidRPr="00416A03" w:rsidRDefault="005C1B49" w:rsidP="005C1B49">
      <w:pP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A</w:t>
      </w:r>
      <w:r w:rsidRPr="00416A03">
        <w:rPr>
          <w:rFonts w:ascii="Times New Roman" w:eastAsia="標楷體" w:hAnsi="Times New Roman" w:cs="Times New Roman"/>
          <w:color w:val="000000" w:themeColor="text1"/>
        </w:rPr>
        <w:t>rticle 8 Application period:</w:t>
      </w:r>
    </w:p>
    <w:p w:rsidR="00144921" w:rsidRDefault="005C1B49" w:rsidP="00144921">
      <w:pPr>
        <w:pStyle w:val="a3"/>
        <w:ind w:leftChars="0" w:left="489" w:firstLineChars="150" w:firstLine="360"/>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Based on the announcement by the Resource Room of the Office of Student Affairs in each </w:t>
      </w:r>
    </w:p>
    <w:p w:rsidR="005C1B49" w:rsidRPr="00416A03" w:rsidRDefault="005C1B49" w:rsidP="00144921">
      <w:pPr>
        <w:pStyle w:val="a3"/>
        <w:ind w:leftChars="0" w:left="489" w:firstLineChars="150" w:firstLine="360"/>
        <w:rPr>
          <w:rFonts w:ascii="Times New Roman" w:eastAsia="標楷體" w:hAnsi="Times New Roman" w:cs="Times New Roman"/>
          <w:color w:val="000000" w:themeColor="text1"/>
        </w:rPr>
      </w:pPr>
      <w:bookmarkStart w:id="0" w:name="_GoBack"/>
      <w:bookmarkEnd w:id="0"/>
      <w:r w:rsidRPr="00416A03">
        <w:rPr>
          <w:rFonts w:ascii="Times New Roman" w:eastAsia="標楷體" w:hAnsi="Times New Roman" w:cs="Times New Roman"/>
          <w:color w:val="000000" w:themeColor="text1"/>
        </w:rPr>
        <w:t>academic year.</w:t>
      </w:r>
    </w:p>
    <w:p w:rsidR="00D042D8" w:rsidRPr="00416A03" w:rsidRDefault="00D042D8" w:rsidP="00D042D8">
      <w:pP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A</w:t>
      </w:r>
      <w:r w:rsidRPr="00416A03">
        <w:rPr>
          <w:rFonts w:ascii="Times New Roman" w:eastAsia="標楷體" w:hAnsi="Times New Roman" w:cs="Times New Roman"/>
          <w:color w:val="000000" w:themeColor="text1"/>
        </w:rPr>
        <w:t>rticle 9 Applicants shall submit the following documents:</w:t>
      </w:r>
    </w:p>
    <w:p w:rsidR="00001330" w:rsidRDefault="00D042D8" w:rsidP="00D042D8">
      <w:pPr>
        <w:ind w:left="709"/>
        <w:rPr>
          <w:rFonts w:ascii="Times New Roman" w:eastAsia="標楷體" w:hAnsi="Times New Roman" w:cs="Times New Roman"/>
          <w:color w:val="000000" w:themeColor="text1"/>
          <w:kern w:val="0"/>
        </w:rPr>
      </w:pPr>
      <w:r w:rsidRPr="00416A03">
        <w:rPr>
          <w:rFonts w:ascii="Times New Roman" w:eastAsia="標楷體" w:hAnsi="Times New Roman" w:cs="Times New Roman" w:hint="eastAsia"/>
          <w:color w:val="000000" w:themeColor="text1"/>
          <w:kern w:val="0"/>
        </w:rPr>
        <w:t>1</w:t>
      </w:r>
      <w:r w:rsidRPr="00416A03">
        <w:rPr>
          <w:rFonts w:ascii="Times New Roman" w:eastAsia="標楷體" w:hAnsi="Times New Roman" w:cs="Times New Roman"/>
          <w:color w:val="000000" w:themeColor="text1"/>
          <w:kern w:val="0"/>
        </w:rPr>
        <w:t>. For students who enrolled in or after the academic year 2022 (</w:t>
      </w:r>
      <w:r w:rsidR="00372BD9" w:rsidRPr="00416A03">
        <w:rPr>
          <w:rFonts w:ascii="Times New Roman" w:eastAsia="標楷體" w:hAnsi="Times New Roman" w:cs="Times New Roman"/>
          <w:color w:val="000000" w:themeColor="text1"/>
          <w:kern w:val="0"/>
        </w:rPr>
        <w:t>the academic year of first-</w:t>
      </w:r>
    </w:p>
    <w:p w:rsidR="00D042D8" w:rsidRPr="00416A03" w:rsidRDefault="00372BD9" w:rsidP="00001330">
      <w:pPr>
        <w:ind w:left="709" w:firstLineChars="100" w:firstLine="24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year undergraduate admission</w:t>
      </w:r>
      <w:r w:rsidR="00D042D8" w:rsidRPr="00416A03">
        <w:rPr>
          <w:rFonts w:ascii="Times New Roman" w:eastAsia="標楷體" w:hAnsi="Times New Roman" w:cs="Times New Roman"/>
          <w:color w:val="000000" w:themeColor="text1"/>
          <w:kern w:val="0"/>
        </w:rPr>
        <w:t>):</w:t>
      </w:r>
    </w:p>
    <w:p w:rsidR="00D042D8" w:rsidRPr="00416A03" w:rsidRDefault="009513A6" w:rsidP="00D042D8">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An a</w:t>
      </w:r>
      <w:r w:rsidR="00D042D8" w:rsidRPr="00416A03">
        <w:rPr>
          <w:rFonts w:ascii="Times New Roman" w:eastAsia="標楷體" w:hAnsi="Times New Roman" w:cs="Times New Roman"/>
          <w:color w:val="000000" w:themeColor="text1"/>
          <w:kern w:val="0"/>
        </w:rPr>
        <w:t xml:space="preserve">pplication </w:t>
      </w:r>
      <w:proofErr w:type="gramStart"/>
      <w:r w:rsidR="00D042D8" w:rsidRPr="00416A03">
        <w:rPr>
          <w:rFonts w:ascii="Times New Roman" w:eastAsia="標楷體" w:hAnsi="Times New Roman" w:cs="Times New Roman"/>
          <w:color w:val="000000" w:themeColor="text1"/>
          <w:kern w:val="0"/>
        </w:rPr>
        <w:t>form</w:t>
      </w:r>
      <w:proofErr w:type="gramEnd"/>
      <w:r w:rsidR="00D042D8" w:rsidRPr="00416A03">
        <w:rPr>
          <w:rFonts w:ascii="Times New Roman" w:eastAsia="標楷體" w:hAnsi="Times New Roman" w:cs="Times New Roman"/>
          <w:color w:val="000000" w:themeColor="text1"/>
          <w:kern w:val="0"/>
        </w:rPr>
        <w:t>.</w:t>
      </w:r>
    </w:p>
    <w:p w:rsidR="00D042D8" w:rsidRPr="00416A03" w:rsidRDefault="00911674" w:rsidP="00D042D8">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The original</w:t>
      </w:r>
      <w:r w:rsidR="00D042D8" w:rsidRPr="00416A03">
        <w:rPr>
          <w:rFonts w:ascii="Times New Roman" w:eastAsia="標楷體" w:hAnsi="Times New Roman" w:cs="Times New Roman"/>
          <w:color w:val="000000" w:themeColor="text1"/>
          <w:kern w:val="0"/>
        </w:rPr>
        <w:t xml:space="preserve"> academic transcript from the previous academic year (with an average academic grade of 70 or above </w:t>
      </w:r>
      <w:r w:rsidR="00605487" w:rsidRPr="00416A03">
        <w:rPr>
          <w:rFonts w:ascii="Times New Roman" w:eastAsia="標楷體" w:hAnsi="Times New Roman" w:cs="Times New Roman"/>
          <w:color w:val="000000" w:themeColor="text1"/>
          <w:kern w:val="0"/>
        </w:rPr>
        <w:t xml:space="preserve">in the previous academic year </w:t>
      </w:r>
      <w:r w:rsidR="00D042D8" w:rsidRPr="00416A03">
        <w:rPr>
          <w:rFonts w:ascii="Times New Roman" w:eastAsia="標楷體" w:hAnsi="Times New Roman" w:cs="Times New Roman"/>
          <w:color w:val="000000" w:themeColor="text1"/>
          <w:kern w:val="0"/>
        </w:rPr>
        <w:t xml:space="preserve">and </w:t>
      </w:r>
      <w:r w:rsidR="00605487" w:rsidRPr="00416A03">
        <w:rPr>
          <w:rFonts w:ascii="Times New Roman" w:eastAsia="標楷體" w:hAnsi="Times New Roman" w:cs="Times New Roman"/>
          <w:color w:val="000000" w:themeColor="text1"/>
          <w:kern w:val="0"/>
        </w:rPr>
        <w:t xml:space="preserve">including </w:t>
      </w:r>
      <w:r w:rsidR="00D042D8" w:rsidRPr="00416A03">
        <w:rPr>
          <w:rFonts w:ascii="Times New Roman" w:eastAsia="標楷體" w:hAnsi="Times New Roman" w:cs="Times New Roman"/>
          <w:color w:val="000000" w:themeColor="text1"/>
          <w:kern w:val="0"/>
        </w:rPr>
        <w:t>class ranking).</w:t>
      </w:r>
    </w:p>
    <w:p w:rsidR="00D042D8" w:rsidRPr="00416A03" w:rsidRDefault="00D042D8" w:rsidP="00D042D8">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 copy of the student </w:t>
      </w:r>
      <w:r w:rsidR="00F71D7B" w:rsidRPr="00416A03">
        <w:rPr>
          <w:rFonts w:ascii="Times New Roman" w:eastAsia="標楷體" w:hAnsi="Times New Roman" w:cs="Times New Roman" w:hint="eastAsia"/>
          <w:color w:val="000000" w:themeColor="text1"/>
          <w:kern w:val="0"/>
        </w:rPr>
        <w:t xml:space="preserve">ID </w:t>
      </w:r>
      <w:r w:rsidRPr="00416A03">
        <w:rPr>
          <w:rFonts w:ascii="Times New Roman" w:eastAsia="標楷體" w:hAnsi="Times New Roman" w:cs="Times New Roman"/>
          <w:color w:val="000000" w:themeColor="text1"/>
          <w:kern w:val="0"/>
        </w:rPr>
        <w:t>card.</w:t>
      </w:r>
    </w:p>
    <w:p w:rsidR="00D042D8" w:rsidRPr="00416A03" w:rsidRDefault="00575741" w:rsidP="00575741">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 copy of the certificate of </w:t>
      </w:r>
      <w:r w:rsidR="00AB6C66" w:rsidRPr="00416A03">
        <w:rPr>
          <w:rFonts w:ascii="Times New Roman" w:eastAsia="標楷體" w:hAnsi="Times New Roman" w:cs="Times New Roman"/>
          <w:color w:val="000000" w:themeColor="text1"/>
        </w:rPr>
        <w:t>assessment</w:t>
      </w:r>
      <w:r w:rsidRPr="00416A03">
        <w:rPr>
          <w:rFonts w:ascii="Times New Roman" w:eastAsia="標楷體" w:hAnsi="Times New Roman" w:cs="Times New Roman"/>
          <w:color w:val="000000" w:themeColor="text1"/>
          <w:kern w:val="0"/>
        </w:rPr>
        <w:t>.</w:t>
      </w:r>
    </w:p>
    <w:p w:rsidR="00575741" w:rsidRPr="00416A03" w:rsidRDefault="00575741" w:rsidP="00575741">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 household registration transcript </w:t>
      </w:r>
      <w:r w:rsidR="00854C84" w:rsidRPr="00416A03">
        <w:rPr>
          <w:rFonts w:ascii="Times New Roman" w:eastAsia="標楷體" w:hAnsi="Times New Roman" w:cs="Times New Roman"/>
          <w:color w:val="000000" w:themeColor="text1"/>
          <w:kern w:val="0"/>
        </w:rPr>
        <w:t>of the entire household</w:t>
      </w:r>
      <w:r w:rsidRPr="00416A03">
        <w:rPr>
          <w:rFonts w:ascii="Times New Roman" w:eastAsia="標楷體" w:hAnsi="Times New Roman" w:cs="Times New Roman"/>
          <w:color w:val="000000" w:themeColor="text1"/>
          <w:kern w:val="0"/>
        </w:rPr>
        <w:t xml:space="preserve"> (</w:t>
      </w:r>
      <w:r w:rsidR="00854C84" w:rsidRPr="00416A03">
        <w:rPr>
          <w:rFonts w:ascii="Times New Roman" w:eastAsia="標楷體" w:hAnsi="Times New Roman" w:cs="Times New Roman"/>
          <w:color w:val="000000" w:themeColor="text1"/>
          <w:kern w:val="0"/>
        </w:rPr>
        <w:t xml:space="preserve">including </w:t>
      </w:r>
      <w:r w:rsidR="00911674" w:rsidRPr="00416A03">
        <w:rPr>
          <w:rFonts w:ascii="Times New Roman" w:eastAsia="標楷體" w:hAnsi="Times New Roman" w:cs="Times New Roman"/>
          <w:color w:val="000000" w:themeColor="text1"/>
          <w:kern w:val="0"/>
        </w:rPr>
        <w:t>the applicant, parents, and</w:t>
      </w:r>
      <w:r w:rsidRPr="00416A03">
        <w:rPr>
          <w:rFonts w:ascii="Times New Roman" w:eastAsia="標楷體" w:hAnsi="Times New Roman" w:cs="Times New Roman"/>
          <w:color w:val="000000" w:themeColor="text1"/>
          <w:kern w:val="0"/>
        </w:rPr>
        <w:t xml:space="preserve"> spouse</w:t>
      </w:r>
      <w:r w:rsidRPr="00416A03">
        <w:rPr>
          <w:rFonts w:ascii="Times New Roman" w:eastAsia="標楷體" w:hAnsi="Times New Roman" w:cs="Times New Roman"/>
          <w:strike/>
          <w:color w:val="000000" w:themeColor="text1"/>
          <w:kern w:val="0"/>
        </w:rPr>
        <w:t>s</w:t>
      </w:r>
      <w:r w:rsidRPr="00416A03">
        <w:rPr>
          <w:rFonts w:ascii="Times New Roman" w:eastAsia="標楷體" w:hAnsi="Times New Roman" w:cs="Times New Roman"/>
          <w:color w:val="000000" w:themeColor="text1"/>
          <w:kern w:val="0"/>
        </w:rPr>
        <w:t>).</w:t>
      </w:r>
    </w:p>
    <w:p w:rsidR="00575741" w:rsidRPr="00416A03" w:rsidRDefault="00AC4029" w:rsidP="00575741">
      <w:pPr>
        <w:pStyle w:val="a3"/>
        <w:numPr>
          <w:ilvl w:val="0"/>
          <w:numId w:val="28"/>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Statement </w:t>
      </w:r>
      <w:r w:rsidR="00575741" w:rsidRPr="00416A03">
        <w:rPr>
          <w:rFonts w:ascii="Times New Roman" w:eastAsia="標楷體" w:hAnsi="Times New Roman" w:cs="Times New Roman"/>
          <w:color w:val="000000" w:themeColor="text1"/>
          <w:kern w:val="0"/>
        </w:rPr>
        <w:t xml:space="preserve">of individual income tax </w:t>
      </w:r>
      <w:r w:rsidR="001F6069" w:rsidRPr="00416A03">
        <w:rPr>
          <w:rFonts w:ascii="Times New Roman" w:eastAsia="標楷體" w:hAnsi="Times New Roman" w:cs="Times New Roman"/>
          <w:color w:val="000000" w:themeColor="text1"/>
          <w:kern w:val="0"/>
        </w:rPr>
        <w:t xml:space="preserve">listing </w:t>
      </w:r>
      <w:r w:rsidR="00575741" w:rsidRPr="00416A03">
        <w:rPr>
          <w:rFonts w:ascii="Times New Roman" w:eastAsia="標楷體" w:hAnsi="Times New Roman" w:cs="Times New Roman"/>
          <w:color w:val="000000" w:themeColor="text1"/>
          <w:kern w:val="0"/>
        </w:rPr>
        <w:t xml:space="preserve">various </w:t>
      </w:r>
      <w:r w:rsidR="001F6069" w:rsidRPr="00416A03">
        <w:rPr>
          <w:rFonts w:ascii="Times New Roman" w:eastAsia="標楷體" w:hAnsi="Times New Roman" w:cs="Times New Roman"/>
          <w:color w:val="000000" w:themeColor="text1"/>
          <w:kern w:val="0"/>
        </w:rPr>
        <w:t xml:space="preserve">types of </w:t>
      </w:r>
      <w:r w:rsidR="00575741" w:rsidRPr="00416A03">
        <w:rPr>
          <w:rFonts w:ascii="Times New Roman" w:eastAsia="標楷體" w:hAnsi="Times New Roman" w:cs="Times New Roman"/>
          <w:color w:val="000000" w:themeColor="text1"/>
          <w:kern w:val="0"/>
        </w:rPr>
        <w:t>income</w:t>
      </w:r>
      <w:r w:rsidR="00575741" w:rsidRPr="00416A03">
        <w:rPr>
          <w:rFonts w:ascii="Times New Roman" w:eastAsia="標楷體" w:hAnsi="Times New Roman" w:cs="Times New Roman"/>
          <w:strike/>
          <w:color w:val="000000" w:themeColor="text1"/>
          <w:kern w:val="0"/>
        </w:rPr>
        <w:t>s</w:t>
      </w:r>
      <w:r w:rsidR="00575741" w:rsidRPr="00416A03">
        <w:rPr>
          <w:rFonts w:ascii="Times New Roman" w:eastAsia="標楷體" w:hAnsi="Times New Roman" w:cs="Times New Roman"/>
          <w:color w:val="000000" w:themeColor="text1"/>
          <w:kern w:val="0"/>
        </w:rPr>
        <w:t xml:space="preserve"> </w:t>
      </w:r>
      <w:r w:rsidR="001F6069" w:rsidRPr="00416A03">
        <w:rPr>
          <w:rFonts w:ascii="Times New Roman" w:eastAsia="標楷體" w:hAnsi="Times New Roman" w:cs="Times New Roman"/>
          <w:color w:val="000000" w:themeColor="text1"/>
          <w:kern w:val="0"/>
        </w:rPr>
        <w:t xml:space="preserve">for </w:t>
      </w:r>
      <w:r w:rsidR="00575741" w:rsidRPr="00416A03">
        <w:rPr>
          <w:rFonts w:ascii="Times New Roman" w:eastAsia="標楷體" w:hAnsi="Times New Roman" w:cs="Times New Roman"/>
          <w:color w:val="000000" w:themeColor="text1"/>
          <w:kern w:val="0"/>
        </w:rPr>
        <w:t>the previous year issued by the National Taxation Bureau.</w:t>
      </w:r>
    </w:p>
    <w:p w:rsidR="00001330" w:rsidRDefault="00575741" w:rsidP="00575741">
      <w:pPr>
        <w:ind w:left="709"/>
        <w:rPr>
          <w:rFonts w:ascii="Times New Roman" w:eastAsia="標楷體" w:hAnsi="Times New Roman" w:cs="Times New Roman"/>
          <w:color w:val="000000" w:themeColor="text1"/>
          <w:kern w:val="0"/>
        </w:rPr>
      </w:pPr>
      <w:r w:rsidRPr="00416A03">
        <w:rPr>
          <w:rFonts w:ascii="Times New Roman" w:eastAsia="標楷體" w:hAnsi="Times New Roman" w:cs="Times New Roman" w:hint="eastAsia"/>
          <w:color w:val="000000" w:themeColor="text1"/>
          <w:kern w:val="0"/>
        </w:rPr>
        <w:t>2</w:t>
      </w:r>
      <w:r w:rsidRPr="00416A03">
        <w:rPr>
          <w:rFonts w:ascii="Times New Roman" w:eastAsia="標楷體" w:hAnsi="Times New Roman" w:cs="Times New Roman"/>
          <w:color w:val="000000" w:themeColor="text1"/>
          <w:kern w:val="0"/>
        </w:rPr>
        <w:t xml:space="preserve">. </w:t>
      </w:r>
      <w:r w:rsidR="009C3C82" w:rsidRPr="00416A03">
        <w:rPr>
          <w:rFonts w:ascii="Times New Roman" w:eastAsia="標楷體" w:hAnsi="Times New Roman" w:cs="Times New Roman"/>
          <w:color w:val="000000" w:themeColor="text1"/>
          <w:kern w:val="0"/>
        </w:rPr>
        <w:t>For students who enrolled in or before the academic year 2021 (</w:t>
      </w:r>
      <w:r w:rsidR="00503126" w:rsidRPr="00416A03">
        <w:rPr>
          <w:rFonts w:ascii="Times New Roman" w:eastAsia="標楷體" w:hAnsi="Times New Roman" w:cs="Times New Roman"/>
          <w:color w:val="000000" w:themeColor="text1"/>
          <w:kern w:val="0"/>
        </w:rPr>
        <w:t>the academic year of first-</w:t>
      </w:r>
    </w:p>
    <w:p w:rsidR="00575741" w:rsidRPr="00416A03" w:rsidRDefault="00503126" w:rsidP="00001330">
      <w:pPr>
        <w:ind w:left="709" w:firstLineChars="100" w:firstLine="24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year undergraduate admission</w:t>
      </w:r>
      <w:r w:rsidR="009C3C82" w:rsidRPr="00416A03">
        <w:rPr>
          <w:rFonts w:ascii="Times New Roman" w:eastAsia="標楷體" w:hAnsi="Times New Roman" w:cs="Times New Roman"/>
          <w:color w:val="000000" w:themeColor="text1"/>
          <w:kern w:val="0"/>
        </w:rPr>
        <w:t>):</w:t>
      </w:r>
      <w:r w:rsidR="00575741" w:rsidRPr="00416A03">
        <w:rPr>
          <w:rFonts w:ascii="Times New Roman" w:eastAsia="標楷體" w:hAnsi="Times New Roman" w:cs="Times New Roman"/>
          <w:color w:val="000000" w:themeColor="text1"/>
          <w:kern w:val="0"/>
        </w:rPr>
        <w:t xml:space="preserve"> </w:t>
      </w:r>
    </w:p>
    <w:p w:rsidR="009513A6" w:rsidRPr="00416A03" w:rsidRDefault="009513A6" w:rsidP="009513A6">
      <w:pPr>
        <w:pStyle w:val="a3"/>
        <w:numPr>
          <w:ilvl w:val="0"/>
          <w:numId w:val="29"/>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An application </w:t>
      </w:r>
      <w:proofErr w:type="gramStart"/>
      <w:r w:rsidRPr="00416A03">
        <w:rPr>
          <w:rFonts w:ascii="Times New Roman" w:eastAsia="標楷體" w:hAnsi="Times New Roman" w:cs="Times New Roman"/>
          <w:color w:val="000000" w:themeColor="text1"/>
          <w:kern w:val="0"/>
        </w:rPr>
        <w:t>form</w:t>
      </w:r>
      <w:proofErr w:type="gramEnd"/>
      <w:r w:rsidRPr="00416A03">
        <w:rPr>
          <w:rFonts w:ascii="Times New Roman" w:eastAsia="標楷體" w:hAnsi="Times New Roman" w:cs="Times New Roman"/>
          <w:color w:val="000000" w:themeColor="text1"/>
          <w:kern w:val="0"/>
        </w:rPr>
        <w:t>.</w:t>
      </w:r>
    </w:p>
    <w:p w:rsidR="009513A6" w:rsidRPr="00416A03" w:rsidRDefault="00911674" w:rsidP="009513A6">
      <w:pPr>
        <w:pStyle w:val="a3"/>
        <w:numPr>
          <w:ilvl w:val="0"/>
          <w:numId w:val="29"/>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The original</w:t>
      </w:r>
      <w:r w:rsidR="009513A6" w:rsidRPr="00416A03">
        <w:rPr>
          <w:rFonts w:ascii="Times New Roman" w:eastAsia="標楷體" w:hAnsi="Times New Roman" w:cs="Times New Roman"/>
          <w:color w:val="000000" w:themeColor="text1"/>
          <w:kern w:val="0"/>
        </w:rPr>
        <w:t xml:space="preserve"> academic transcript from the previous academic year (with an average academic grade of 70 or above </w:t>
      </w:r>
      <w:r w:rsidR="007509DE" w:rsidRPr="00416A03">
        <w:rPr>
          <w:rFonts w:ascii="Times New Roman" w:eastAsia="標楷體" w:hAnsi="Times New Roman" w:cs="Times New Roman"/>
          <w:color w:val="000000" w:themeColor="text1"/>
          <w:kern w:val="0"/>
        </w:rPr>
        <w:t xml:space="preserve">in the previous academic year </w:t>
      </w:r>
      <w:r w:rsidR="009513A6" w:rsidRPr="00416A03">
        <w:rPr>
          <w:rFonts w:ascii="Times New Roman" w:eastAsia="標楷體" w:hAnsi="Times New Roman" w:cs="Times New Roman"/>
          <w:color w:val="000000" w:themeColor="text1"/>
          <w:kern w:val="0"/>
        </w:rPr>
        <w:t xml:space="preserve">and </w:t>
      </w:r>
      <w:r w:rsidR="007509DE" w:rsidRPr="00416A03">
        <w:rPr>
          <w:rFonts w:ascii="Times New Roman" w:eastAsia="標楷體" w:hAnsi="Times New Roman" w:cs="Times New Roman"/>
          <w:color w:val="000000" w:themeColor="text1"/>
          <w:kern w:val="0"/>
        </w:rPr>
        <w:t xml:space="preserve">including </w:t>
      </w:r>
      <w:r w:rsidR="009513A6" w:rsidRPr="00416A03">
        <w:rPr>
          <w:rFonts w:ascii="Times New Roman" w:eastAsia="標楷體" w:hAnsi="Times New Roman" w:cs="Times New Roman"/>
          <w:color w:val="000000" w:themeColor="text1"/>
          <w:kern w:val="0"/>
        </w:rPr>
        <w:t>class ranking).</w:t>
      </w:r>
    </w:p>
    <w:p w:rsidR="009513A6" w:rsidRPr="00416A03" w:rsidRDefault="009513A6" w:rsidP="009513A6">
      <w:pPr>
        <w:pStyle w:val="a3"/>
        <w:numPr>
          <w:ilvl w:val="0"/>
          <w:numId w:val="29"/>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 copy of the student </w:t>
      </w:r>
      <w:r w:rsidR="00107C50" w:rsidRPr="00416A03">
        <w:rPr>
          <w:rFonts w:ascii="Times New Roman" w:eastAsia="標楷體" w:hAnsi="Times New Roman" w:cs="Times New Roman" w:hint="eastAsia"/>
          <w:color w:val="000000" w:themeColor="text1"/>
          <w:kern w:val="0"/>
        </w:rPr>
        <w:t>ID</w:t>
      </w:r>
      <w:r w:rsidRPr="00416A03">
        <w:rPr>
          <w:rFonts w:ascii="Times New Roman" w:eastAsia="標楷體" w:hAnsi="Times New Roman" w:cs="Times New Roman"/>
          <w:color w:val="000000" w:themeColor="text1"/>
          <w:kern w:val="0"/>
        </w:rPr>
        <w:t xml:space="preserve"> card.</w:t>
      </w:r>
    </w:p>
    <w:p w:rsidR="00C8060A" w:rsidRPr="00416A03" w:rsidRDefault="00C8060A" w:rsidP="00C8060A">
      <w:pPr>
        <w:pStyle w:val="a3"/>
        <w:numPr>
          <w:ilvl w:val="0"/>
          <w:numId w:val="29"/>
        </w:numPr>
        <w:ind w:leftChars="0"/>
        <w:rPr>
          <w:rFonts w:ascii="Times New Roman" w:eastAsia="標楷體" w:hAnsi="Times New Roman" w:cs="Times New Roman"/>
          <w:color w:val="000000" w:themeColor="text1"/>
          <w:kern w:val="0"/>
        </w:rPr>
      </w:pPr>
      <w:r w:rsidRPr="00416A03">
        <w:rPr>
          <w:rFonts w:ascii="Times New Roman" w:eastAsia="標楷體" w:hAnsi="Times New Roman" w:cs="Times New Roman"/>
          <w:color w:val="000000" w:themeColor="text1"/>
          <w:kern w:val="0"/>
        </w:rPr>
        <w:t xml:space="preserve">A copy of the certificate of </w:t>
      </w:r>
      <w:r w:rsidR="00E26293" w:rsidRPr="00416A03">
        <w:rPr>
          <w:rFonts w:ascii="Times New Roman" w:eastAsia="標楷體" w:hAnsi="Times New Roman" w:cs="Times New Roman"/>
          <w:color w:val="000000" w:themeColor="text1"/>
        </w:rPr>
        <w:t>assessment</w:t>
      </w:r>
      <w:r w:rsidR="00E26293" w:rsidRPr="00416A03">
        <w:rPr>
          <w:rFonts w:ascii="Times New Roman" w:eastAsia="標楷體" w:hAnsi="Times New Roman" w:cs="Times New Roman"/>
          <w:color w:val="000000" w:themeColor="text1"/>
          <w:kern w:val="0"/>
        </w:rPr>
        <w:t xml:space="preserve"> issued by the MOE’s Special Education Student Appraisal and Guidance Committee</w:t>
      </w:r>
    </w:p>
    <w:p w:rsidR="00C8060A" w:rsidRPr="00416A03" w:rsidRDefault="00C8060A" w:rsidP="00C8060A">
      <w:pPr>
        <w:ind w:left="1049" w:hangingChars="437" w:hanging="1049"/>
        <w:jc w:val="both"/>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A</w:t>
      </w:r>
      <w:r w:rsidRPr="00416A03">
        <w:rPr>
          <w:rFonts w:ascii="Times New Roman" w:eastAsia="標楷體" w:hAnsi="Times New Roman" w:cs="Times New Roman"/>
          <w:color w:val="000000" w:themeColor="text1"/>
        </w:rPr>
        <w:t xml:space="preserve">rticle 10 The Directives shall be passed by the Student Affairs Meeting and then implemented on the date of promulgation and </w:t>
      </w:r>
      <w:r w:rsidR="00F35B5A" w:rsidRPr="00416A03">
        <w:rPr>
          <w:rFonts w:ascii="Times New Roman" w:eastAsia="標楷體" w:hAnsi="Times New Roman" w:cs="Times New Roman"/>
          <w:color w:val="000000" w:themeColor="text1"/>
        </w:rPr>
        <w:t xml:space="preserve">the same </w:t>
      </w:r>
      <w:r w:rsidRPr="00416A03">
        <w:rPr>
          <w:rFonts w:ascii="Times New Roman" w:eastAsia="標楷體" w:hAnsi="Times New Roman" w:cs="Times New Roman"/>
          <w:color w:val="000000" w:themeColor="text1"/>
        </w:rPr>
        <w:t xml:space="preserve">shall apply to </w:t>
      </w:r>
      <w:r w:rsidR="00F35B5A" w:rsidRPr="00416A03">
        <w:rPr>
          <w:rFonts w:ascii="Times New Roman" w:eastAsia="標楷體" w:hAnsi="Times New Roman" w:cs="Times New Roman"/>
          <w:color w:val="000000" w:themeColor="text1"/>
        </w:rPr>
        <w:t>any</w:t>
      </w:r>
      <w:r w:rsidRPr="00416A03">
        <w:rPr>
          <w:rFonts w:ascii="Times New Roman" w:eastAsia="標楷體" w:hAnsi="Times New Roman" w:cs="Times New Roman"/>
          <w:color w:val="000000" w:themeColor="text1"/>
        </w:rPr>
        <w:t xml:space="preserve"> amendments.</w:t>
      </w:r>
    </w:p>
    <w:p w:rsidR="00F931D2" w:rsidRPr="00416A03" w:rsidRDefault="00F931D2" w:rsidP="00F931D2">
      <w:pPr>
        <w:rPr>
          <w:rFonts w:ascii="Times New Roman" w:eastAsia="標楷體" w:hAnsi="Times New Roman" w:cs="Times New Roman"/>
          <w:color w:val="000000" w:themeColor="text1"/>
        </w:rPr>
      </w:pPr>
    </w:p>
    <w:p w:rsidR="00F931D2" w:rsidRDefault="00F931D2" w:rsidP="00F931D2">
      <w:pPr>
        <w:rPr>
          <w:rFonts w:ascii="Times New Roman" w:eastAsia="標楷體" w:hAnsi="Times New Roman" w:cs="Times New Roman"/>
          <w:color w:val="000000" w:themeColor="text1"/>
        </w:rPr>
      </w:pPr>
    </w:p>
    <w:p w:rsidR="00FE26EA" w:rsidRDefault="00FE26EA" w:rsidP="00F931D2">
      <w:pPr>
        <w:rPr>
          <w:rFonts w:ascii="Times New Roman" w:eastAsia="標楷體" w:hAnsi="Times New Roman" w:cs="Times New Roman"/>
          <w:color w:val="000000" w:themeColor="text1"/>
        </w:rPr>
      </w:pPr>
    </w:p>
    <w:p w:rsidR="00FE26EA" w:rsidRDefault="00FE26EA" w:rsidP="00F931D2">
      <w:pPr>
        <w:rPr>
          <w:rFonts w:ascii="Times New Roman" w:eastAsia="標楷體" w:hAnsi="Times New Roman" w:cs="Times New Roman"/>
          <w:color w:val="000000" w:themeColor="text1"/>
        </w:rPr>
      </w:pPr>
    </w:p>
    <w:p w:rsidR="00FE26EA" w:rsidRDefault="00FE26EA" w:rsidP="00F931D2">
      <w:pPr>
        <w:rPr>
          <w:rFonts w:ascii="Times New Roman" w:eastAsia="標楷體" w:hAnsi="Times New Roman" w:cs="Times New Roman"/>
          <w:color w:val="000000" w:themeColor="text1"/>
        </w:rPr>
      </w:pPr>
    </w:p>
    <w:p w:rsidR="00FE26EA" w:rsidRPr="00416A03" w:rsidRDefault="00FE26EA" w:rsidP="00F931D2">
      <w:pPr>
        <w:rPr>
          <w:rFonts w:ascii="Times New Roman" w:eastAsia="標楷體" w:hAnsi="Times New Roman" w:cs="Times New Roman" w:hint="eastAsia"/>
          <w:color w:val="000000" w:themeColor="text1"/>
        </w:rPr>
      </w:pPr>
    </w:p>
    <w:p w:rsidR="00297AF6" w:rsidRPr="00416A03" w:rsidRDefault="00297AF6" w:rsidP="00F931D2">
      <w:pPr>
        <w:pStyle w:val="a3"/>
        <w:ind w:leftChars="0" w:left="489"/>
        <w:jc w:val="center"/>
        <w:rPr>
          <w:rFonts w:ascii="Times New Roman" w:eastAsia="標楷體" w:hAnsi="Times New Roman" w:cs="Times New Roman"/>
          <w:b/>
          <w:color w:val="000000" w:themeColor="text1"/>
          <w:kern w:val="0"/>
        </w:rPr>
      </w:pPr>
      <w:r w:rsidRPr="00416A03">
        <w:rPr>
          <w:rFonts w:ascii="Times New Roman" w:eastAsia="標楷體" w:hAnsi="Times New Roman" w:cs="Times New Roman"/>
          <w:b/>
          <w:color w:val="000000" w:themeColor="text1"/>
          <w:kern w:val="0"/>
        </w:rPr>
        <w:lastRenderedPageBreak/>
        <w:t>Categories and Amounts of Scholarships and Subsidies</w:t>
      </w:r>
    </w:p>
    <w:p w:rsidR="00297AF6" w:rsidRPr="00416A03" w:rsidRDefault="00297AF6" w:rsidP="00F931D2">
      <w:pPr>
        <w:pStyle w:val="a3"/>
        <w:ind w:leftChars="0" w:left="489"/>
        <w:jc w:val="cente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kern w:val="0"/>
        </w:rPr>
        <w:t>T</w:t>
      </w:r>
      <w:r w:rsidRPr="00416A03">
        <w:rPr>
          <w:rFonts w:ascii="Times New Roman" w:eastAsia="標楷體" w:hAnsi="Times New Roman" w:cs="Times New Roman"/>
          <w:color w:val="000000" w:themeColor="text1"/>
          <w:kern w:val="0"/>
        </w:rPr>
        <w:t>able 1</w:t>
      </w:r>
    </w:p>
    <w:tbl>
      <w:tblPr>
        <w:tblStyle w:val="a4"/>
        <w:tblW w:w="0" w:type="auto"/>
        <w:jc w:val="center"/>
        <w:tblLook w:val="04A0" w:firstRow="1" w:lastRow="0" w:firstColumn="1" w:lastColumn="0" w:noHBand="0" w:noVBand="1"/>
      </w:tblPr>
      <w:tblGrid>
        <w:gridCol w:w="2211"/>
        <w:gridCol w:w="2212"/>
        <w:gridCol w:w="2212"/>
        <w:gridCol w:w="2212"/>
      </w:tblGrid>
      <w:tr w:rsidR="00416A03" w:rsidRPr="00416A03" w:rsidTr="008E1880">
        <w:trPr>
          <w:jc w:val="center"/>
        </w:trPr>
        <w:tc>
          <w:tcPr>
            <w:tcW w:w="8847" w:type="dxa"/>
            <w:gridSpan w:val="4"/>
          </w:tcPr>
          <w:p w:rsidR="00297AF6" w:rsidRPr="00416A03" w:rsidRDefault="00297AF6" w:rsidP="008E1880">
            <w:pPr>
              <w:widowControl/>
              <w:jc w:val="center"/>
              <w:rPr>
                <w:rFonts w:eastAsia="標楷體"/>
                <w:color w:val="000000" w:themeColor="text1"/>
              </w:rPr>
            </w:pPr>
            <w:r w:rsidRPr="00416A03">
              <w:rPr>
                <w:rFonts w:eastAsia="標楷體"/>
                <w:color w:val="000000" w:themeColor="text1"/>
              </w:rPr>
              <w:t>Categories and amounts of scholarships and subsidies for students who enrolled in or after the academic year 2022 (</w:t>
            </w:r>
            <w:r w:rsidR="00F97069" w:rsidRPr="00416A03">
              <w:rPr>
                <w:rFonts w:eastAsia="標楷體"/>
                <w:color w:val="000000" w:themeColor="text1"/>
              </w:rPr>
              <w:t>the academic year of first-year undergraduate admission</w:t>
            </w:r>
            <w:r w:rsidRPr="00416A03">
              <w:rPr>
                <w:rFonts w:eastAsia="標楷體"/>
                <w:color w:val="000000" w:themeColor="text1"/>
              </w:rPr>
              <w:t>):</w:t>
            </w:r>
          </w:p>
        </w:tc>
      </w:tr>
      <w:tr w:rsidR="00416A03" w:rsidRPr="00416A03" w:rsidTr="008E1880">
        <w:trPr>
          <w:jc w:val="center"/>
        </w:trPr>
        <w:tc>
          <w:tcPr>
            <w:tcW w:w="2211" w:type="dxa"/>
            <w:vAlign w:val="center"/>
          </w:tcPr>
          <w:p w:rsidR="00D53082" w:rsidRPr="00416A03" w:rsidRDefault="00F1501D" w:rsidP="008E1880">
            <w:pPr>
              <w:widowControl/>
              <w:jc w:val="center"/>
              <w:rPr>
                <w:rFonts w:eastAsia="標楷體"/>
                <w:color w:val="000000" w:themeColor="text1"/>
              </w:rPr>
            </w:pPr>
            <w:r w:rsidRPr="00416A03">
              <w:rPr>
                <w:rFonts w:eastAsia="標楷體"/>
                <w:color w:val="000000" w:themeColor="text1"/>
              </w:rPr>
              <w:t>Categories</w:t>
            </w:r>
            <w:r w:rsidR="00D53082" w:rsidRPr="00416A03">
              <w:rPr>
                <w:rFonts w:eastAsia="標楷體"/>
                <w:color w:val="000000" w:themeColor="text1"/>
              </w:rPr>
              <w:t xml:space="preserve"> </w:t>
            </w:r>
            <w:r w:rsidR="00D53082" w:rsidRPr="00416A03">
              <w:rPr>
                <w:rFonts w:eastAsia="標楷體" w:hint="eastAsia"/>
                <w:color w:val="000000" w:themeColor="text1"/>
              </w:rPr>
              <w:t>〔</w:t>
            </w:r>
            <w:r w:rsidR="00177357" w:rsidRPr="00416A03">
              <w:rPr>
                <w:rFonts w:eastAsia="標楷體"/>
                <w:color w:val="000000" w:themeColor="text1"/>
              </w:rPr>
              <w:t>Based on the certificate of assessment issued for special education students by competent authorities at all levels</w:t>
            </w:r>
            <w:r w:rsidR="00D53082" w:rsidRPr="00416A03">
              <w:rPr>
                <w:rFonts w:eastAsia="標楷體" w:hint="eastAsia"/>
                <w:color w:val="000000" w:themeColor="text1"/>
              </w:rPr>
              <w:t>〕</w:t>
            </w:r>
          </w:p>
        </w:tc>
        <w:tc>
          <w:tcPr>
            <w:tcW w:w="2212" w:type="dxa"/>
            <w:vAlign w:val="center"/>
          </w:tcPr>
          <w:p w:rsidR="0022623A" w:rsidRPr="00416A03" w:rsidRDefault="0022623A" w:rsidP="00540CF8">
            <w:pPr>
              <w:widowControl/>
              <w:jc w:val="center"/>
              <w:rPr>
                <w:rFonts w:eastAsia="標楷體"/>
                <w:color w:val="000000" w:themeColor="text1"/>
              </w:rPr>
            </w:pPr>
            <w:r w:rsidRPr="00416A03">
              <w:rPr>
                <w:rFonts w:eastAsia="標楷體" w:hint="eastAsia"/>
                <w:color w:val="000000" w:themeColor="text1"/>
              </w:rPr>
              <w:t>L</w:t>
            </w:r>
            <w:r w:rsidRPr="00416A03">
              <w:rPr>
                <w:rFonts w:eastAsia="標楷體"/>
                <w:color w:val="000000" w:themeColor="text1"/>
              </w:rPr>
              <w:t xml:space="preserve">evels of disabilities </w:t>
            </w:r>
            <w:r w:rsidRPr="00416A03">
              <w:rPr>
                <w:rFonts w:eastAsia="標楷體" w:hint="eastAsia"/>
                <w:color w:val="000000" w:themeColor="text1"/>
              </w:rPr>
              <w:t>〔</w:t>
            </w:r>
            <w:r w:rsidR="00540CF8" w:rsidRPr="00416A03">
              <w:rPr>
                <w:rFonts w:eastAsia="標楷體"/>
                <w:color w:val="000000" w:themeColor="text1"/>
              </w:rPr>
              <w:t>In accordance with the level</w:t>
            </w:r>
            <w:r w:rsidR="00F1501D" w:rsidRPr="00416A03">
              <w:rPr>
                <w:rFonts w:eastAsia="標楷體"/>
                <w:color w:val="000000" w:themeColor="text1"/>
              </w:rPr>
              <w:t xml:space="preserve"> specified in the disability ident</w:t>
            </w:r>
            <w:r w:rsidR="00540CF8" w:rsidRPr="00416A03">
              <w:rPr>
                <w:rFonts w:eastAsia="標楷體"/>
                <w:color w:val="000000" w:themeColor="text1"/>
              </w:rPr>
              <w:t>ification</w:t>
            </w:r>
            <w:r w:rsidRPr="00416A03">
              <w:rPr>
                <w:rFonts w:eastAsia="標楷體" w:hint="eastAsia"/>
                <w:color w:val="000000" w:themeColor="text1"/>
              </w:rPr>
              <w:t>〕</w:t>
            </w: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S</w:t>
            </w:r>
            <w:r w:rsidRPr="00416A03">
              <w:rPr>
                <w:rFonts w:eastAsia="標楷體"/>
                <w:color w:val="000000" w:themeColor="text1"/>
              </w:rPr>
              <w:t>cholarships</w:t>
            </w:r>
          </w:p>
          <w:p w:rsidR="00F1501D" w:rsidRPr="00416A03" w:rsidRDefault="00F1501D" w:rsidP="008E1880">
            <w:pPr>
              <w:widowControl/>
              <w:jc w:val="center"/>
              <w:rPr>
                <w:rFonts w:eastAsia="標楷體"/>
                <w:color w:val="000000" w:themeColor="text1"/>
              </w:rPr>
            </w:pPr>
            <w:proofErr w:type="gramStart"/>
            <w:r w:rsidRPr="00416A03">
              <w:rPr>
                <w:rFonts w:eastAsia="標楷體" w:hint="eastAsia"/>
                <w:color w:val="000000" w:themeColor="text1"/>
              </w:rPr>
              <w:t>〔</w:t>
            </w:r>
            <w:proofErr w:type="gramEnd"/>
            <w:r w:rsidRPr="00416A03">
              <w:rPr>
                <w:rFonts w:eastAsia="標楷體" w:hint="eastAsia"/>
                <w:color w:val="000000" w:themeColor="text1"/>
              </w:rPr>
              <w:t>U</w:t>
            </w:r>
            <w:r w:rsidRPr="00416A03">
              <w:rPr>
                <w:rFonts w:eastAsia="標楷體"/>
                <w:color w:val="000000" w:themeColor="text1"/>
              </w:rPr>
              <w:t>nit: NT$</w:t>
            </w:r>
            <w:proofErr w:type="gramStart"/>
            <w:r w:rsidRPr="00416A03">
              <w:rPr>
                <w:rFonts w:eastAsia="標楷體" w:hint="eastAsia"/>
                <w:color w:val="000000" w:themeColor="text1"/>
              </w:rPr>
              <w:t>〕</w:t>
            </w:r>
            <w:proofErr w:type="gramEnd"/>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color w:val="000000" w:themeColor="text1"/>
              </w:rPr>
              <w:t>Subsidies</w:t>
            </w:r>
          </w:p>
          <w:p w:rsidR="00F1501D" w:rsidRPr="00416A03" w:rsidRDefault="00F1501D" w:rsidP="008E1880">
            <w:pPr>
              <w:widowControl/>
              <w:jc w:val="center"/>
              <w:rPr>
                <w:rFonts w:eastAsia="標楷體"/>
                <w:color w:val="000000" w:themeColor="text1"/>
              </w:rPr>
            </w:pPr>
            <w:proofErr w:type="gramStart"/>
            <w:r w:rsidRPr="00416A03">
              <w:rPr>
                <w:rFonts w:eastAsia="標楷體" w:hint="eastAsia"/>
                <w:color w:val="000000" w:themeColor="text1"/>
              </w:rPr>
              <w:t>〔</w:t>
            </w:r>
            <w:proofErr w:type="gramEnd"/>
            <w:r w:rsidRPr="00416A03">
              <w:rPr>
                <w:rFonts w:eastAsia="標楷體" w:hint="eastAsia"/>
                <w:color w:val="000000" w:themeColor="text1"/>
              </w:rPr>
              <w:t>U</w:t>
            </w:r>
            <w:r w:rsidRPr="00416A03">
              <w:rPr>
                <w:rFonts w:eastAsia="標楷體"/>
                <w:color w:val="000000" w:themeColor="text1"/>
              </w:rPr>
              <w:t>nit: NT$</w:t>
            </w:r>
            <w:proofErr w:type="gramStart"/>
            <w:r w:rsidRPr="00416A03">
              <w:rPr>
                <w:rFonts w:eastAsia="標楷體" w:hint="eastAsia"/>
                <w:color w:val="000000" w:themeColor="text1"/>
              </w:rPr>
              <w:t>〕</w:t>
            </w:r>
            <w:proofErr w:type="gramEnd"/>
          </w:p>
        </w:tc>
      </w:tr>
      <w:tr w:rsidR="00416A03" w:rsidRPr="00416A03" w:rsidTr="008E1880">
        <w:trPr>
          <w:jc w:val="center"/>
        </w:trPr>
        <w:tc>
          <w:tcPr>
            <w:tcW w:w="2211" w:type="dxa"/>
            <w:vMerge w:val="restart"/>
            <w:vAlign w:val="center"/>
          </w:tcPr>
          <w:p w:rsidR="0022623A" w:rsidRPr="00416A03" w:rsidRDefault="0022623A" w:rsidP="008E1880">
            <w:pPr>
              <w:widowControl/>
              <w:jc w:val="center"/>
              <w:rPr>
                <w:rFonts w:eastAsia="標楷體"/>
                <w:color w:val="000000" w:themeColor="text1"/>
              </w:rPr>
            </w:pPr>
            <w:r w:rsidRPr="00416A03">
              <w:rPr>
                <w:rFonts w:eastAsia="標楷體" w:hint="eastAsia"/>
                <w:color w:val="000000" w:themeColor="text1"/>
              </w:rPr>
              <w:t>D</w:t>
            </w:r>
            <w:r w:rsidRPr="00416A03">
              <w:rPr>
                <w:rFonts w:eastAsia="標楷體"/>
                <w:color w:val="000000" w:themeColor="text1"/>
              </w:rPr>
              <w:t>isabilities</w:t>
            </w:r>
          </w:p>
        </w:tc>
        <w:tc>
          <w:tcPr>
            <w:tcW w:w="2212" w:type="dxa"/>
            <w:vAlign w:val="center"/>
          </w:tcPr>
          <w:p w:rsidR="00F1501D" w:rsidRPr="00416A03" w:rsidRDefault="00F1501D" w:rsidP="00F1501D">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ild</w:t>
            </w: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3</w:t>
            </w:r>
            <w:r w:rsidRPr="00416A03">
              <w:rPr>
                <w:rFonts w:eastAsia="標楷體"/>
                <w:color w:val="000000" w:themeColor="text1"/>
              </w:rPr>
              <w:t>0,000</w:t>
            </w: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color w:val="000000" w:themeColor="text1"/>
              </w:rPr>
              <w:t>10,000</w:t>
            </w:r>
          </w:p>
        </w:tc>
      </w:tr>
      <w:tr w:rsidR="00416A03" w:rsidRPr="00416A03" w:rsidTr="008E1880">
        <w:trPr>
          <w:jc w:val="center"/>
        </w:trPr>
        <w:tc>
          <w:tcPr>
            <w:tcW w:w="2211" w:type="dxa"/>
            <w:vMerge/>
            <w:vAlign w:val="center"/>
          </w:tcPr>
          <w:p w:rsidR="00F931D2" w:rsidRPr="00416A03" w:rsidRDefault="00F931D2" w:rsidP="008E1880">
            <w:pPr>
              <w:widowControl/>
              <w:jc w:val="center"/>
              <w:rPr>
                <w:rFonts w:eastAsia="標楷體"/>
                <w:color w:val="000000" w:themeColor="text1"/>
              </w:rPr>
            </w:pP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oderate and above</w:t>
            </w: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4</w:t>
            </w:r>
            <w:r w:rsidRPr="00416A03">
              <w:rPr>
                <w:rFonts w:eastAsia="標楷體"/>
                <w:color w:val="000000" w:themeColor="text1"/>
              </w:rPr>
              <w:t>0,000</w:t>
            </w:r>
          </w:p>
        </w:tc>
        <w:tc>
          <w:tcPr>
            <w:tcW w:w="2212"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0,000</w:t>
            </w:r>
          </w:p>
        </w:tc>
      </w:tr>
    </w:tbl>
    <w:p w:rsidR="006F6AF9" w:rsidRDefault="006F6AF9" w:rsidP="00F931D2">
      <w:pPr>
        <w:pStyle w:val="a3"/>
        <w:ind w:leftChars="0" w:left="489"/>
        <w:jc w:val="center"/>
        <w:rPr>
          <w:rFonts w:ascii="Times New Roman" w:eastAsia="標楷體" w:hAnsi="Times New Roman" w:cs="Times New Roman"/>
          <w:color w:val="000000" w:themeColor="text1"/>
        </w:rPr>
      </w:pPr>
    </w:p>
    <w:p w:rsidR="008B54FE" w:rsidRPr="00416A03" w:rsidRDefault="008B54FE" w:rsidP="00F931D2">
      <w:pPr>
        <w:pStyle w:val="a3"/>
        <w:ind w:leftChars="0" w:left="489"/>
        <w:jc w:val="center"/>
        <w:rPr>
          <w:rFonts w:ascii="Times New Roman" w:eastAsia="標楷體" w:hAnsi="Times New Roman" w:cs="Times New Roman"/>
          <w:color w:val="000000" w:themeColor="text1"/>
        </w:rPr>
      </w:pPr>
      <w:r w:rsidRPr="00416A03">
        <w:rPr>
          <w:rFonts w:ascii="Times New Roman" w:eastAsia="標楷體" w:hAnsi="Times New Roman" w:cs="Times New Roman" w:hint="eastAsia"/>
          <w:color w:val="000000" w:themeColor="text1"/>
        </w:rPr>
        <w:t>Ta</w:t>
      </w:r>
      <w:r w:rsidRPr="00416A03">
        <w:rPr>
          <w:rFonts w:ascii="Times New Roman" w:eastAsia="標楷體" w:hAnsi="Times New Roman" w:cs="Times New Roman"/>
          <w:color w:val="000000" w:themeColor="text1"/>
        </w:rPr>
        <w:t>ble 2</w:t>
      </w:r>
    </w:p>
    <w:tbl>
      <w:tblPr>
        <w:tblStyle w:val="a4"/>
        <w:tblW w:w="0" w:type="auto"/>
        <w:jc w:val="center"/>
        <w:tblLook w:val="04A0" w:firstRow="1" w:lastRow="0" w:firstColumn="1" w:lastColumn="0" w:noHBand="0" w:noVBand="1"/>
      </w:tblPr>
      <w:tblGrid>
        <w:gridCol w:w="1128"/>
        <w:gridCol w:w="2268"/>
        <w:gridCol w:w="1985"/>
        <w:gridCol w:w="1984"/>
        <w:gridCol w:w="1906"/>
      </w:tblGrid>
      <w:tr w:rsidR="00416A03" w:rsidRPr="00416A03" w:rsidTr="008E1880">
        <w:trPr>
          <w:jc w:val="center"/>
        </w:trPr>
        <w:tc>
          <w:tcPr>
            <w:tcW w:w="8847" w:type="dxa"/>
            <w:gridSpan w:val="5"/>
          </w:tcPr>
          <w:p w:rsidR="00297AF6" w:rsidRPr="00416A03" w:rsidRDefault="00297AF6" w:rsidP="008E1880">
            <w:pPr>
              <w:widowControl/>
              <w:jc w:val="center"/>
              <w:rPr>
                <w:rFonts w:eastAsia="標楷體"/>
                <w:color w:val="000000" w:themeColor="text1"/>
              </w:rPr>
            </w:pPr>
            <w:r w:rsidRPr="00416A03">
              <w:rPr>
                <w:rFonts w:eastAsia="標楷體"/>
                <w:color w:val="000000" w:themeColor="text1"/>
              </w:rPr>
              <w:t>Categories and amounts of scholarships and subsidies for students who enrolled in or before the academic year 2021 (</w:t>
            </w:r>
            <w:r w:rsidR="00F50FB3" w:rsidRPr="00416A03">
              <w:rPr>
                <w:rFonts w:eastAsia="標楷體"/>
                <w:color w:val="000000" w:themeColor="text1"/>
              </w:rPr>
              <w:t>the academic year of first-year undergraduate admission</w:t>
            </w:r>
            <w:r w:rsidRPr="00416A03">
              <w:rPr>
                <w:rFonts w:eastAsia="標楷體"/>
                <w:color w:val="000000" w:themeColor="text1"/>
              </w:rPr>
              <w:t>):</w:t>
            </w:r>
          </w:p>
        </w:tc>
      </w:tr>
      <w:tr w:rsidR="00416A03" w:rsidRPr="00416A03" w:rsidTr="008E1880">
        <w:trPr>
          <w:jc w:val="center"/>
        </w:trPr>
        <w:tc>
          <w:tcPr>
            <w:tcW w:w="2972" w:type="dxa"/>
            <w:gridSpan w:val="2"/>
            <w:vAlign w:val="center"/>
          </w:tcPr>
          <w:p w:rsidR="00F1501D" w:rsidRPr="00416A03" w:rsidRDefault="00F1501D" w:rsidP="008E1880">
            <w:pPr>
              <w:widowControl/>
              <w:jc w:val="center"/>
              <w:rPr>
                <w:rFonts w:eastAsia="標楷體"/>
                <w:color w:val="000000" w:themeColor="text1"/>
              </w:rPr>
            </w:pPr>
            <w:r w:rsidRPr="00416A03">
              <w:rPr>
                <w:rFonts w:eastAsia="標楷體"/>
                <w:color w:val="000000" w:themeColor="text1"/>
              </w:rPr>
              <w:t xml:space="preserve">Categories </w:t>
            </w:r>
            <w:r w:rsidRPr="00416A03">
              <w:rPr>
                <w:rFonts w:eastAsia="標楷體" w:hint="eastAsia"/>
                <w:color w:val="000000" w:themeColor="text1"/>
              </w:rPr>
              <w:t>〔</w:t>
            </w:r>
            <w:r w:rsidRPr="00416A03">
              <w:rPr>
                <w:rFonts w:eastAsia="標楷體"/>
                <w:color w:val="000000" w:themeColor="text1"/>
              </w:rPr>
              <w:t xml:space="preserve">Based on the certificate of </w:t>
            </w:r>
            <w:r w:rsidR="00F50FB3" w:rsidRPr="00416A03">
              <w:rPr>
                <w:rFonts w:eastAsia="標楷體"/>
                <w:color w:val="000000" w:themeColor="text1"/>
              </w:rPr>
              <w:t>assessment</w:t>
            </w:r>
            <w:r w:rsidRPr="00416A03">
              <w:rPr>
                <w:rFonts w:eastAsia="標楷體"/>
                <w:color w:val="000000" w:themeColor="text1"/>
              </w:rPr>
              <w:t xml:space="preserve"> issued for special education students by competent authorities at all levels</w:t>
            </w:r>
            <w:r w:rsidRPr="00416A03">
              <w:rPr>
                <w:rFonts w:eastAsia="標楷體" w:hint="eastAsia"/>
                <w:color w:val="000000" w:themeColor="text1"/>
              </w:rPr>
              <w:t>〕</w:t>
            </w:r>
          </w:p>
        </w:tc>
        <w:tc>
          <w:tcPr>
            <w:tcW w:w="1985" w:type="dxa"/>
            <w:vAlign w:val="center"/>
          </w:tcPr>
          <w:p w:rsidR="00540CF8" w:rsidRPr="00416A03" w:rsidRDefault="00540CF8" w:rsidP="008E1880">
            <w:pPr>
              <w:widowControl/>
              <w:jc w:val="center"/>
              <w:rPr>
                <w:rFonts w:eastAsia="標楷體"/>
                <w:color w:val="000000" w:themeColor="text1"/>
              </w:rPr>
            </w:pPr>
            <w:r w:rsidRPr="00416A03">
              <w:rPr>
                <w:rFonts w:eastAsia="標楷體" w:hint="eastAsia"/>
                <w:color w:val="000000" w:themeColor="text1"/>
              </w:rPr>
              <w:t>L</w:t>
            </w:r>
            <w:r w:rsidRPr="00416A03">
              <w:rPr>
                <w:rFonts w:eastAsia="標楷體"/>
                <w:color w:val="000000" w:themeColor="text1"/>
              </w:rPr>
              <w:t xml:space="preserve">evels of disabilities </w:t>
            </w:r>
            <w:r w:rsidRPr="00416A03">
              <w:rPr>
                <w:rFonts w:eastAsia="標楷體" w:hint="eastAsia"/>
                <w:color w:val="000000" w:themeColor="text1"/>
              </w:rPr>
              <w:t>〔</w:t>
            </w:r>
            <w:r w:rsidRPr="00416A03">
              <w:rPr>
                <w:rFonts w:eastAsia="標楷體"/>
                <w:color w:val="000000" w:themeColor="text1"/>
              </w:rPr>
              <w:t>In accordance with the level specified in the disability identification (</w:t>
            </w:r>
            <w:r w:rsidR="00A7187B" w:rsidRPr="00416A03">
              <w:rPr>
                <w:rFonts w:eastAsia="標楷體"/>
                <w:color w:val="000000" w:themeColor="text1"/>
              </w:rPr>
              <w:t>Manual</w:t>
            </w:r>
            <w:r w:rsidRPr="00416A03">
              <w:rPr>
                <w:rFonts w:eastAsia="標楷體"/>
                <w:color w:val="000000" w:themeColor="text1"/>
              </w:rPr>
              <w:t>)</w:t>
            </w:r>
            <w:r w:rsidRPr="00416A03">
              <w:rPr>
                <w:rFonts w:eastAsia="標楷體" w:hint="eastAsia"/>
                <w:color w:val="000000" w:themeColor="text1"/>
              </w:rPr>
              <w:t>〕</w:t>
            </w:r>
          </w:p>
        </w:tc>
        <w:tc>
          <w:tcPr>
            <w:tcW w:w="1984" w:type="dxa"/>
            <w:vAlign w:val="center"/>
          </w:tcPr>
          <w:p w:rsidR="00540CF8" w:rsidRPr="00416A03" w:rsidRDefault="00540CF8" w:rsidP="00540CF8">
            <w:pPr>
              <w:widowControl/>
              <w:jc w:val="center"/>
              <w:rPr>
                <w:rFonts w:eastAsia="標楷體"/>
                <w:color w:val="000000" w:themeColor="text1"/>
              </w:rPr>
            </w:pPr>
            <w:r w:rsidRPr="00416A03">
              <w:rPr>
                <w:rFonts w:eastAsia="標楷體" w:hint="eastAsia"/>
                <w:color w:val="000000" w:themeColor="text1"/>
              </w:rPr>
              <w:t>S</w:t>
            </w:r>
            <w:r w:rsidRPr="00416A03">
              <w:rPr>
                <w:rFonts w:eastAsia="標楷體"/>
                <w:color w:val="000000" w:themeColor="text1"/>
              </w:rPr>
              <w:t>cholarships</w:t>
            </w:r>
          </w:p>
          <w:p w:rsidR="00540CF8" w:rsidRPr="00416A03" w:rsidRDefault="00540CF8" w:rsidP="00540CF8">
            <w:pPr>
              <w:widowControl/>
              <w:jc w:val="center"/>
              <w:rPr>
                <w:rFonts w:eastAsia="標楷體"/>
                <w:color w:val="000000" w:themeColor="text1"/>
              </w:rPr>
            </w:pPr>
            <w:proofErr w:type="gramStart"/>
            <w:r w:rsidRPr="00416A03">
              <w:rPr>
                <w:rFonts w:eastAsia="標楷體" w:hint="eastAsia"/>
                <w:color w:val="000000" w:themeColor="text1"/>
              </w:rPr>
              <w:t>〔</w:t>
            </w:r>
            <w:proofErr w:type="gramEnd"/>
            <w:r w:rsidRPr="00416A03">
              <w:rPr>
                <w:rFonts w:eastAsia="標楷體" w:hint="eastAsia"/>
                <w:color w:val="000000" w:themeColor="text1"/>
              </w:rPr>
              <w:t>U</w:t>
            </w:r>
            <w:r w:rsidRPr="00416A03">
              <w:rPr>
                <w:rFonts w:eastAsia="標楷體"/>
                <w:color w:val="000000" w:themeColor="text1"/>
              </w:rPr>
              <w:t>nit: NT$</w:t>
            </w:r>
            <w:proofErr w:type="gramStart"/>
            <w:r w:rsidRPr="00416A03">
              <w:rPr>
                <w:rFonts w:eastAsia="標楷體" w:hint="eastAsia"/>
                <w:color w:val="000000" w:themeColor="text1"/>
              </w:rPr>
              <w:t>〕</w:t>
            </w:r>
            <w:proofErr w:type="gramEnd"/>
          </w:p>
        </w:tc>
        <w:tc>
          <w:tcPr>
            <w:tcW w:w="1906" w:type="dxa"/>
            <w:vAlign w:val="center"/>
          </w:tcPr>
          <w:p w:rsidR="00540CF8" w:rsidRPr="00416A03" w:rsidRDefault="00540CF8" w:rsidP="00540CF8">
            <w:pPr>
              <w:widowControl/>
              <w:jc w:val="center"/>
              <w:rPr>
                <w:rFonts w:eastAsia="標楷體"/>
                <w:color w:val="000000" w:themeColor="text1"/>
              </w:rPr>
            </w:pPr>
            <w:r w:rsidRPr="00416A03">
              <w:rPr>
                <w:rFonts w:eastAsia="標楷體"/>
                <w:color w:val="000000" w:themeColor="text1"/>
              </w:rPr>
              <w:t>Subsidies</w:t>
            </w:r>
          </w:p>
          <w:p w:rsidR="00540CF8" w:rsidRPr="00416A03" w:rsidRDefault="00540CF8" w:rsidP="00540CF8">
            <w:pPr>
              <w:widowControl/>
              <w:jc w:val="center"/>
              <w:rPr>
                <w:rFonts w:eastAsia="標楷體"/>
                <w:color w:val="000000" w:themeColor="text1"/>
              </w:rPr>
            </w:pPr>
            <w:proofErr w:type="gramStart"/>
            <w:r w:rsidRPr="00416A03">
              <w:rPr>
                <w:rFonts w:eastAsia="標楷體" w:hint="eastAsia"/>
                <w:color w:val="000000" w:themeColor="text1"/>
              </w:rPr>
              <w:t>〔</w:t>
            </w:r>
            <w:proofErr w:type="gramEnd"/>
            <w:r w:rsidRPr="00416A03">
              <w:rPr>
                <w:rFonts w:eastAsia="標楷體" w:hint="eastAsia"/>
                <w:color w:val="000000" w:themeColor="text1"/>
              </w:rPr>
              <w:t>U</w:t>
            </w:r>
            <w:r w:rsidRPr="00416A03">
              <w:rPr>
                <w:rFonts w:eastAsia="標楷體"/>
                <w:color w:val="000000" w:themeColor="text1"/>
              </w:rPr>
              <w:t>nit: NT$</w:t>
            </w:r>
            <w:proofErr w:type="gramStart"/>
            <w:r w:rsidRPr="00416A03">
              <w:rPr>
                <w:rFonts w:eastAsia="標楷體" w:hint="eastAsia"/>
                <w:color w:val="000000" w:themeColor="text1"/>
              </w:rPr>
              <w:t>〕</w:t>
            </w:r>
            <w:proofErr w:type="gramEnd"/>
          </w:p>
        </w:tc>
      </w:tr>
      <w:tr w:rsidR="00416A03" w:rsidRPr="00416A03" w:rsidTr="008E1880">
        <w:trPr>
          <w:jc w:val="center"/>
        </w:trPr>
        <w:tc>
          <w:tcPr>
            <w:tcW w:w="704" w:type="dxa"/>
            <w:vMerge w:val="restart"/>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D</w:t>
            </w:r>
            <w:r w:rsidRPr="00416A03">
              <w:rPr>
                <w:rFonts w:eastAsia="標楷體"/>
                <w:color w:val="000000" w:themeColor="text1"/>
              </w:rPr>
              <w:t>isabilities</w:t>
            </w:r>
          </w:p>
        </w:tc>
        <w:tc>
          <w:tcPr>
            <w:tcW w:w="2268" w:type="dxa"/>
            <w:vMerge w:val="restart"/>
            <w:vAlign w:val="center"/>
          </w:tcPr>
          <w:p w:rsidR="00F1501D" w:rsidRPr="00416A03" w:rsidRDefault="00F1501D" w:rsidP="008E1880">
            <w:pPr>
              <w:widowControl/>
              <w:rPr>
                <w:rFonts w:eastAsia="標楷體"/>
                <w:color w:val="000000" w:themeColor="text1"/>
              </w:rPr>
            </w:pPr>
            <w:r w:rsidRPr="00416A03">
              <w:rPr>
                <w:rFonts w:eastAsia="標楷體" w:hint="eastAsia"/>
                <w:color w:val="000000" w:themeColor="text1"/>
              </w:rPr>
              <w:t>V</w:t>
            </w:r>
            <w:r w:rsidRPr="00416A03">
              <w:rPr>
                <w:rFonts w:eastAsia="標楷體"/>
                <w:color w:val="000000" w:themeColor="text1"/>
              </w:rPr>
              <w:t>isual</w:t>
            </w:r>
            <w:r w:rsidR="00BD0270" w:rsidRPr="00416A03">
              <w:rPr>
                <w:rFonts w:eastAsia="標楷體"/>
                <w:color w:val="000000" w:themeColor="text1"/>
              </w:rPr>
              <w:t xml:space="preserve"> impairment</w:t>
            </w:r>
            <w:r w:rsidRPr="00416A03">
              <w:rPr>
                <w:rFonts w:eastAsia="標楷體"/>
                <w:color w:val="000000" w:themeColor="text1"/>
              </w:rPr>
              <w:t>, hearing</w:t>
            </w:r>
            <w:r w:rsidR="00BD0270" w:rsidRPr="00416A03">
              <w:rPr>
                <w:rFonts w:eastAsia="標楷體"/>
                <w:color w:val="000000" w:themeColor="text1"/>
              </w:rPr>
              <w:t xml:space="preserve"> impairment</w:t>
            </w:r>
            <w:r w:rsidRPr="00416A03">
              <w:rPr>
                <w:rFonts w:eastAsia="標楷體"/>
                <w:color w:val="000000" w:themeColor="text1"/>
              </w:rPr>
              <w:t xml:space="preserve">, and speech </w:t>
            </w:r>
            <w:r w:rsidR="00BD0270" w:rsidRPr="00416A03">
              <w:rPr>
                <w:rFonts w:eastAsia="標楷體"/>
                <w:color w:val="000000" w:themeColor="text1"/>
              </w:rPr>
              <w:t>or language disorder</w:t>
            </w:r>
          </w:p>
        </w:tc>
        <w:tc>
          <w:tcPr>
            <w:tcW w:w="1985"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ild</w:t>
            </w:r>
          </w:p>
        </w:tc>
        <w:tc>
          <w:tcPr>
            <w:tcW w:w="1984"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3</w:t>
            </w:r>
            <w:r w:rsidRPr="00416A03">
              <w:rPr>
                <w:rFonts w:eastAsia="標楷體"/>
                <w:color w:val="000000" w:themeColor="text1"/>
              </w:rPr>
              <w:t>0,000</w:t>
            </w:r>
          </w:p>
        </w:tc>
        <w:tc>
          <w:tcPr>
            <w:tcW w:w="1906" w:type="dxa"/>
            <w:vAlign w:val="center"/>
          </w:tcPr>
          <w:p w:rsidR="00F1501D" w:rsidRPr="00416A03" w:rsidRDefault="00F1501D" w:rsidP="008E1880">
            <w:pPr>
              <w:widowControl/>
              <w:jc w:val="center"/>
              <w:rPr>
                <w:rFonts w:eastAsia="標楷體"/>
                <w:color w:val="000000" w:themeColor="text1"/>
              </w:rPr>
            </w:pPr>
            <w:r w:rsidRPr="00416A03">
              <w:rPr>
                <w:rFonts w:eastAsia="標楷體"/>
                <w:color w:val="000000" w:themeColor="text1"/>
              </w:rPr>
              <w:t>10,000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Merge/>
            <w:vAlign w:val="center"/>
          </w:tcPr>
          <w:p w:rsidR="00F931D2" w:rsidRPr="00416A03" w:rsidRDefault="00F931D2" w:rsidP="008E1880">
            <w:pPr>
              <w:widowControl/>
              <w:rPr>
                <w:rFonts w:eastAsia="標楷體"/>
                <w:color w:val="000000" w:themeColor="text1"/>
              </w:rPr>
            </w:pPr>
          </w:p>
        </w:tc>
        <w:tc>
          <w:tcPr>
            <w:tcW w:w="1985"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oderate and above</w:t>
            </w:r>
          </w:p>
        </w:tc>
        <w:tc>
          <w:tcPr>
            <w:tcW w:w="1984"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4</w:t>
            </w:r>
            <w:r w:rsidRPr="00416A03">
              <w:rPr>
                <w:rFonts w:eastAsia="標楷體"/>
                <w:color w:val="000000" w:themeColor="text1"/>
              </w:rPr>
              <w:t>0,000</w:t>
            </w:r>
          </w:p>
        </w:tc>
        <w:tc>
          <w:tcPr>
            <w:tcW w:w="1906" w:type="dxa"/>
            <w:vAlign w:val="center"/>
          </w:tcPr>
          <w:p w:rsidR="00F1501D" w:rsidRPr="00416A03" w:rsidRDefault="00F1501D"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Merge w:val="restart"/>
            <w:vAlign w:val="center"/>
          </w:tcPr>
          <w:p w:rsidR="00F1501D" w:rsidRPr="00416A03" w:rsidRDefault="00FC1A93" w:rsidP="008E1880">
            <w:pPr>
              <w:widowControl/>
              <w:rPr>
                <w:rFonts w:eastAsia="標楷體"/>
                <w:color w:val="000000" w:themeColor="text1"/>
              </w:rPr>
            </w:pPr>
            <w:r w:rsidRPr="00416A03">
              <w:rPr>
                <w:rFonts w:eastAsia="標楷體"/>
                <w:color w:val="000000" w:themeColor="text1"/>
              </w:rPr>
              <w:t xml:space="preserve">Physical disability </w:t>
            </w:r>
            <w:r w:rsidR="00F1501D" w:rsidRPr="00416A03">
              <w:rPr>
                <w:rFonts w:eastAsia="標楷體"/>
                <w:color w:val="000000" w:themeColor="text1"/>
              </w:rPr>
              <w:t>and cerebral palsy</w:t>
            </w:r>
          </w:p>
        </w:tc>
        <w:tc>
          <w:tcPr>
            <w:tcW w:w="1985"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ild</w:t>
            </w:r>
          </w:p>
        </w:tc>
        <w:tc>
          <w:tcPr>
            <w:tcW w:w="1984"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1</w:t>
            </w:r>
            <w:r w:rsidRPr="00416A03">
              <w:rPr>
                <w:rFonts w:eastAsia="標楷體"/>
                <w:color w:val="000000" w:themeColor="text1"/>
              </w:rPr>
              <w:t>2,000</w:t>
            </w:r>
          </w:p>
        </w:tc>
        <w:tc>
          <w:tcPr>
            <w:tcW w:w="1906"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1</w:t>
            </w:r>
            <w:r w:rsidRPr="00416A03">
              <w:rPr>
                <w:rFonts w:eastAsia="標楷體"/>
                <w:color w:val="000000" w:themeColor="text1"/>
              </w:rPr>
              <w:t>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Merge/>
            <w:vAlign w:val="center"/>
          </w:tcPr>
          <w:p w:rsidR="00F931D2" w:rsidRPr="00416A03" w:rsidRDefault="00F931D2" w:rsidP="008E1880">
            <w:pPr>
              <w:widowControl/>
              <w:rPr>
                <w:rFonts w:eastAsia="標楷體"/>
                <w:color w:val="000000" w:themeColor="text1"/>
              </w:rPr>
            </w:pPr>
          </w:p>
        </w:tc>
        <w:tc>
          <w:tcPr>
            <w:tcW w:w="1985"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oderate and above</w:t>
            </w:r>
          </w:p>
        </w:tc>
        <w:tc>
          <w:tcPr>
            <w:tcW w:w="1984"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2,000</w:t>
            </w:r>
          </w:p>
        </w:tc>
        <w:tc>
          <w:tcPr>
            <w:tcW w:w="1906"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Align w:val="center"/>
          </w:tcPr>
          <w:p w:rsidR="00343435" w:rsidRPr="00416A03" w:rsidRDefault="00343435" w:rsidP="008E1880">
            <w:pPr>
              <w:widowControl/>
              <w:rPr>
                <w:rFonts w:eastAsia="標楷體"/>
                <w:color w:val="000000" w:themeColor="text1"/>
              </w:rPr>
            </w:pPr>
            <w:r w:rsidRPr="00416A03">
              <w:rPr>
                <w:rFonts w:eastAsia="標楷體"/>
                <w:color w:val="000000" w:themeColor="text1"/>
              </w:rPr>
              <w:t>Multiple disabilities</w:t>
            </w:r>
          </w:p>
        </w:tc>
        <w:tc>
          <w:tcPr>
            <w:tcW w:w="1985" w:type="dxa"/>
            <w:vAlign w:val="center"/>
          </w:tcPr>
          <w:p w:rsidR="00F931D2" w:rsidRPr="00416A03" w:rsidRDefault="00F931D2" w:rsidP="008E1880">
            <w:pPr>
              <w:widowControl/>
              <w:jc w:val="center"/>
              <w:rPr>
                <w:rFonts w:eastAsia="標楷體"/>
                <w:color w:val="000000" w:themeColor="text1"/>
              </w:rPr>
            </w:pPr>
          </w:p>
        </w:tc>
        <w:tc>
          <w:tcPr>
            <w:tcW w:w="1984"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4</w:t>
            </w:r>
            <w:r w:rsidRPr="00416A03">
              <w:rPr>
                <w:rFonts w:eastAsia="標楷體"/>
                <w:color w:val="000000" w:themeColor="text1"/>
              </w:rPr>
              <w:t>0,000</w:t>
            </w:r>
          </w:p>
        </w:tc>
        <w:tc>
          <w:tcPr>
            <w:tcW w:w="1906"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Merge w:val="restart"/>
            <w:vAlign w:val="center"/>
          </w:tcPr>
          <w:p w:rsidR="00343435" w:rsidRPr="00416A03" w:rsidRDefault="00343435" w:rsidP="008E1880">
            <w:pPr>
              <w:widowControl/>
              <w:rPr>
                <w:rFonts w:eastAsia="標楷體"/>
                <w:color w:val="000000" w:themeColor="text1"/>
              </w:rPr>
            </w:pPr>
            <w:r w:rsidRPr="00416A03">
              <w:rPr>
                <w:rFonts w:eastAsia="標楷體"/>
                <w:color w:val="000000" w:themeColor="text1"/>
              </w:rPr>
              <w:t>Disabilities other than those mentioned above</w:t>
            </w:r>
          </w:p>
        </w:tc>
        <w:tc>
          <w:tcPr>
            <w:tcW w:w="1985"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ild</w:t>
            </w:r>
          </w:p>
        </w:tc>
        <w:tc>
          <w:tcPr>
            <w:tcW w:w="1984"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1</w:t>
            </w:r>
            <w:r w:rsidRPr="00416A03">
              <w:rPr>
                <w:rFonts w:eastAsia="標楷體"/>
                <w:color w:val="000000" w:themeColor="text1"/>
              </w:rPr>
              <w:t>2,000</w:t>
            </w:r>
          </w:p>
        </w:tc>
        <w:tc>
          <w:tcPr>
            <w:tcW w:w="1906"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1</w:t>
            </w:r>
            <w:r w:rsidRPr="00416A03">
              <w:rPr>
                <w:rFonts w:eastAsia="標楷體"/>
                <w:color w:val="000000" w:themeColor="text1"/>
              </w:rPr>
              <w:t>0,000</w:t>
            </w:r>
          </w:p>
        </w:tc>
      </w:tr>
      <w:tr w:rsidR="00416A03" w:rsidRPr="00416A03" w:rsidTr="008E1880">
        <w:trPr>
          <w:jc w:val="center"/>
        </w:trPr>
        <w:tc>
          <w:tcPr>
            <w:tcW w:w="704" w:type="dxa"/>
            <w:vMerge/>
            <w:vAlign w:val="center"/>
          </w:tcPr>
          <w:p w:rsidR="00F931D2" w:rsidRPr="00416A03" w:rsidRDefault="00F931D2" w:rsidP="008E1880">
            <w:pPr>
              <w:widowControl/>
              <w:jc w:val="center"/>
              <w:rPr>
                <w:rFonts w:eastAsia="標楷體"/>
                <w:color w:val="000000" w:themeColor="text1"/>
              </w:rPr>
            </w:pPr>
          </w:p>
        </w:tc>
        <w:tc>
          <w:tcPr>
            <w:tcW w:w="2268" w:type="dxa"/>
            <w:vMerge/>
            <w:vAlign w:val="center"/>
          </w:tcPr>
          <w:p w:rsidR="00F931D2" w:rsidRPr="00416A03" w:rsidRDefault="00F931D2" w:rsidP="008E1880">
            <w:pPr>
              <w:widowControl/>
              <w:rPr>
                <w:rFonts w:eastAsia="標楷體"/>
                <w:color w:val="000000" w:themeColor="text1"/>
              </w:rPr>
            </w:pPr>
          </w:p>
        </w:tc>
        <w:tc>
          <w:tcPr>
            <w:tcW w:w="1985"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M</w:t>
            </w:r>
            <w:r w:rsidRPr="00416A03">
              <w:rPr>
                <w:rFonts w:eastAsia="標楷體"/>
                <w:color w:val="000000" w:themeColor="text1"/>
              </w:rPr>
              <w:t>oderate and above</w:t>
            </w:r>
          </w:p>
        </w:tc>
        <w:tc>
          <w:tcPr>
            <w:tcW w:w="1984"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2</w:t>
            </w:r>
            <w:r w:rsidRPr="00416A03">
              <w:rPr>
                <w:rFonts w:eastAsia="標楷體"/>
                <w:color w:val="000000" w:themeColor="text1"/>
              </w:rPr>
              <w:t>0,000</w:t>
            </w:r>
          </w:p>
        </w:tc>
        <w:tc>
          <w:tcPr>
            <w:tcW w:w="1906" w:type="dxa"/>
            <w:vAlign w:val="center"/>
          </w:tcPr>
          <w:p w:rsidR="00343435" w:rsidRPr="00416A03" w:rsidRDefault="00343435" w:rsidP="008E1880">
            <w:pPr>
              <w:widowControl/>
              <w:jc w:val="center"/>
              <w:rPr>
                <w:rFonts w:eastAsia="標楷體"/>
                <w:color w:val="000000" w:themeColor="text1"/>
              </w:rPr>
            </w:pPr>
            <w:r w:rsidRPr="00416A03">
              <w:rPr>
                <w:rFonts w:eastAsia="標楷體" w:hint="eastAsia"/>
                <w:color w:val="000000" w:themeColor="text1"/>
              </w:rPr>
              <w:t>1</w:t>
            </w:r>
            <w:r w:rsidRPr="00416A03">
              <w:rPr>
                <w:rFonts w:eastAsia="標楷體"/>
                <w:color w:val="000000" w:themeColor="text1"/>
              </w:rPr>
              <w:t>2,000</w:t>
            </w:r>
          </w:p>
        </w:tc>
      </w:tr>
    </w:tbl>
    <w:p w:rsidR="00343435" w:rsidRPr="00416A03" w:rsidRDefault="00882224" w:rsidP="00882224">
      <w:pPr>
        <w:pStyle w:val="a3"/>
        <w:ind w:leftChars="0" w:left="489"/>
        <w:jc w:val="both"/>
        <w:rPr>
          <w:rFonts w:ascii="Times New Roman" w:eastAsia="標楷體" w:hAnsi="Times New Roman" w:cs="Times New Roman"/>
          <w:color w:val="000000" w:themeColor="text1"/>
        </w:rPr>
      </w:pPr>
      <w:r w:rsidRPr="00416A03">
        <w:rPr>
          <w:rFonts w:ascii="Times New Roman" w:eastAsia="標楷體" w:hAnsi="Times New Roman" w:cs="Times New Roman"/>
          <w:color w:val="000000" w:themeColor="text1"/>
        </w:rPr>
        <w:t xml:space="preserve">For students who do not possess disability identification but have passed the </w:t>
      </w:r>
      <w:r w:rsidR="00380AB3" w:rsidRPr="00416A03">
        <w:rPr>
          <w:rFonts w:ascii="Times New Roman" w:eastAsia="標楷體" w:hAnsi="Times New Roman" w:cs="Times New Roman"/>
          <w:color w:val="000000" w:themeColor="text1"/>
        </w:rPr>
        <w:t>assessment</w:t>
      </w:r>
      <w:r w:rsidRPr="00416A03">
        <w:rPr>
          <w:rFonts w:ascii="Times New Roman" w:eastAsia="標楷體" w:hAnsi="Times New Roman" w:cs="Times New Roman"/>
          <w:color w:val="000000" w:themeColor="text1"/>
        </w:rPr>
        <w:t xml:space="preserve"> of the Special Education Student</w:t>
      </w:r>
      <w:r w:rsidR="00380AB3" w:rsidRPr="00416A03">
        <w:rPr>
          <w:rFonts w:ascii="Times New Roman" w:eastAsia="標楷體" w:hAnsi="Times New Roman" w:cs="Times New Roman"/>
          <w:color w:val="000000" w:themeColor="text1"/>
        </w:rPr>
        <w:t>s</w:t>
      </w:r>
      <w:r w:rsidRPr="00416A03">
        <w:rPr>
          <w:rFonts w:ascii="Times New Roman" w:eastAsia="標楷體" w:hAnsi="Times New Roman" w:cs="Times New Roman"/>
          <w:color w:val="000000" w:themeColor="text1"/>
        </w:rPr>
        <w:t xml:space="preserve"> </w:t>
      </w:r>
      <w:r w:rsidR="00380AB3" w:rsidRPr="00416A03">
        <w:rPr>
          <w:rFonts w:ascii="Times New Roman" w:eastAsia="標楷體" w:hAnsi="Times New Roman" w:cs="Times New Roman"/>
          <w:color w:val="000000" w:themeColor="text1"/>
        </w:rPr>
        <w:t xml:space="preserve">Identification and Educational Placement Committee </w:t>
      </w:r>
      <w:r w:rsidRPr="00416A03">
        <w:rPr>
          <w:rFonts w:ascii="Times New Roman" w:eastAsia="標楷體" w:hAnsi="Times New Roman" w:cs="Times New Roman"/>
          <w:color w:val="000000" w:themeColor="text1"/>
        </w:rPr>
        <w:t>of competent authorities at all levels, their scholarships and subsidies will be handled in accordance with the amounts designated for those with a mild level of disabilities.</w:t>
      </w:r>
    </w:p>
    <w:p w:rsidR="00F931D2" w:rsidRPr="00416A03" w:rsidRDefault="00F931D2" w:rsidP="00F931D2">
      <w:pPr>
        <w:rPr>
          <w:rFonts w:ascii="Times New Roman" w:eastAsia="標楷體" w:hAnsi="Times New Roman" w:cs="Times New Roman"/>
          <w:color w:val="000000" w:themeColor="text1"/>
        </w:rPr>
      </w:pPr>
    </w:p>
    <w:sectPr w:rsidR="00F931D2" w:rsidRPr="00416A03" w:rsidSect="008E38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BD2" w:rsidRDefault="00340BD2" w:rsidP="00C81805">
      <w:r>
        <w:separator/>
      </w:r>
    </w:p>
  </w:endnote>
  <w:endnote w:type="continuationSeparator" w:id="0">
    <w:p w:rsidR="00340BD2" w:rsidRDefault="00340BD2" w:rsidP="00C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BD2" w:rsidRDefault="00340BD2" w:rsidP="00C81805">
      <w:r>
        <w:separator/>
      </w:r>
    </w:p>
  </w:footnote>
  <w:footnote w:type="continuationSeparator" w:id="0">
    <w:p w:rsidR="00340BD2" w:rsidRDefault="00340BD2" w:rsidP="00C8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61E"/>
    <w:multiLevelType w:val="hybridMultilevel"/>
    <w:tmpl w:val="F5AA29BA"/>
    <w:lvl w:ilvl="0" w:tplc="4740F468">
      <w:start w:val="1"/>
      <w:numFmt w:val="taiwaneseCountingThousand"/>
      <w:lvlText w:val="%1、"/>
      <w:lvlJc w:val="left"/>
      <w:pPr>
        <w:ind w:left="489" w:hanging="489"/>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9407E"/>
    <w:multiLevelType w:val="hybridMultilevel"/>
    <w:tmpl w:val="AC64F9DE"/>
    <w:lvl w:ilvl="0" w:tplc="80525928">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 w15:restartNumberingAfterBreak="0">
    <w:nsid w:val="09756D5C"/>
    <w:multiLevelType w:val="hybridMultilevel"/>
    <w:tmpl w:val="94945708"/>
    <w:lvl w:ilvl="0" w:tplc="21E4A634">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3" w15:restartNumberingAfterBreak="0">
    <w:nsid w:val="10720757"/>
    <w:multiLevelType w:val="hybridMultilevel"/>
    <w:tmpl w:val="0590B1C2"/>
    <w:lvl w:ilvl="0" w:tplc="6A781CC4">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4" w15:restartNumberingAfterBreak="0">
    <w:nsid w:val="143034A4"/>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5" w15:restartNumberingAfterBreak="0">
    <w:nsid w:val="15CF48F4"/>
    <w:multiLevelType w:val="hybridMultilevel"/>
    <w:tmpl w:val="3216F41E"/>
    <w:lvl w:ilvl="0" w:tplc="F76EEAEE">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6" w15:restartNumberingAfterBreak="0">
    <w:nsid w:val="1C7B57BE"/>
    <w:multiLevelType w:val="hybridMultilevel"/>
    <w:tmpl w:val="64D84D7E"/>
    <w:lvl w:ilvl="0" w:tplc="62828218">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7" w15:restartNumberingAfterBreak="0">
    <w:nsid w:val="1DAD1C43"/>
    <w:multiLevelType w:val="hybridMultilevel"/>
    <w:tmpl w:val="7E1691D4"/>
    <w:lvl w:ilvl="0" w:tplc="FE72EFA4">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8" w15:restartNumberingAfterBreak="0">
    <w:nsid w:val="1E0140F0"/>
    <w:multiLevelType w:val="hybridMultilevel"/>
    <w:tmpl w:val="FA424BC4"/>
    <w:lvl w:ilvl="0" w:tplc="6ECC149C">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9" w15:restartNumberingAfterBreak="0">
    <w:nsid w:val="1E222EAE"/>
    <w:multiLevelType w:val="hybridMultilevel"/>
    <w:tmpl w:val="D0061B7A"/>
    <w:lvl w:ilvl="0" w:tplc="443AC25C">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0" w15:restartNumberingAfterBreak="0">
    <w:nsid w:val="26D56F7F"/>
    <w:multiLevelType w:val="hybridMultilevel"/>
    <w:tmpl w:val="380C9E0A"/>
    <w:lvl w:ilvl="0" w:tplc="6C5C99BC">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1" w15:restartNumberingAfterBreak="0">
    <w:nsid w:val="29C064E9"/>
    <w:multiLevelType w:val="hybridMultilevel"/>
    <w:tmpl w:val="B04CFEBC"/>
    <w:lvl w:ilvl="0" w:tplc="5EE4C17E">
      <w:start w:val="1"/>
      <w:numFmt w:val="decimal"/>
      <w:lvlText w:val="%1."/>
      <w:lvlJc w:val="left"/>
      <w:pPr>
        <w:ind w:left="1583" w:hanging="360"/>
      </w:pPr>
      <w:rPr>
        <w:rFonts w:hint="default"/>
      </w:rPr>
    </w:lvl>
    <w:lvl w:ilvl="1" w:tplc="04090019" w:tentative="1">
      <w:start w:val="1"/>
      <w:numFmt w:val="ideographTraditional"/>
      <w:lvlText w:val="%2、"/>
      <w:lvlJc w:val="left"/>
      <w:pPr>
        <w:ind w:left="2183" w:hanging="480"/>
      </w:pPr>
    </w:lvl>
    <w:lvl w:ilvl="2" w:tplc="0409001B" w:tentative="1">
      <w:start w:val="1"/>
      <w:numFmt w:val="lowerRoman"/>
      <w:lvlText w:val="%3."/>
      <w:lvlJc w:val="right"/>
      <w:pPr>
        <w:ind w:left="2663" w:hanging="480"/>
      </w:pPr>
    </w:lvl>
    <w:lvl w:ilvl="3" w:tplc="0409000F" w:tentative="1">
      <w:start w:val="1"/>
      <w:numFmt w:val="decimal"/>
      <w:lvlText w:val="%4."/>
      <w:lvlJc w:val="left"/>
      <w:pPr>
        <w:ind w:left="3143" w:hanging="480"/>
      </w:pPr>
    </w:lvl>
    <w:lvl w:ilvl="4" w:tplc="04090019" w:tentative="1">
      <w:start w:val="1"/>
      <w:numFmt w:val="ideographTraditional"/>
      <w:lvlText w:val="%5、"/>
      <w:lvlJc w:val="left"/>
      <w:pPr>
        <w:ind w:left="3623" w:hanging="480"/>
      </w:pPr>
    </w:lvl>
    <w:lvl w:ilvl="5" w:tplc="0409001B" w:tentative="1">
      <w:start w:val="1"/>
      <w:numFmt w:val="lowerRoman"/>
      <w:lvlText w:val="%6."/>
      <w:lvlJc w:val="right"/>
      <w:pPr>
        <w:ind w:left="4103" w:hanging="480"/>
      </w:pPr>
    </w:lvl>
    <w:lvl w:ilvl="6" w:tplc="0409000F" w:tentative="1">
      <w:start w:val="1"/>
      <w:numFmt w:val="decimal"/>
      <w:lvlText w:val="%7."/>
      <w:lvlJc w:val="left"/>
      <w:pPr>
        <w:ind w:left="4583" w:hanging="480"/>
      </w:pPr>
    </w:lvl>
    <w:lvl w:ilvl="7" w:tplc="04090019" w:tentative="1">
      <w:start w:val="1"/>
      <w:numFmt w:val="ideographTraditional"/>
      <w:lvlText w:val="%8、"/>
      <w:lvlJc w:val="left"/>
      <w:pPr>
        <w:ind w:left="5063" w:hanging="480"/>
      </w:pPr>
    </w:lvl>
    <w:lvl w:ilvl="8" w:tplc="0409001B" w:tentative="1">
      <w:start w:val="1"/>
      <w:numFmt w:val="lowerRoman"/>
      <w:lvlText w:val="%9."/>
      <w:lvlJc w:val="right"/>
      <w:pPr>
        <w:ind w:left="5543" w:hanging="480"/>
      </w:pPr>
    </w:lvl>
  </w:abstractNum>
  <w:abstractNum w:abstractNumId="12" w15:restartNumberingAfterBreak="0">
    <w:nsid w:val="2C4758AC"/>
    <w:multiLevelType w:val="hybridMultilevel"/>
    <w:tmpl w:val="B39CD6C4"/>
    <w:lvl w:ilvl="0" w:tplc="E5DEF8BA">
      <w:start w:val="1"/>
      <w:numFmt w:val="decimal"/>
      <w:lvlText w:val="%1."/>
      <w:lvlJc w:val="left"/>
      <w:pPr>
        <w:ind w:left="849" w:hanging="36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3" w15:restartNumberingAfterBreak="0">
    <w:nsid w:val="323D1228"/>
    <w:multiLevelType w:val="hybridMultilevel"/>
    <w:tmpl w:val="DC0AF8D0"/>
    <w:lvl w:ilvl="0" w:tplc="D9FA0944">
      <w:start w:val="1"/>
      <w:numFmt w:val="decimal"/>
      <w:lvlText w:val="%1."/>
      <w:lvlJc w:val="left"/>
      <w:pPr>
        <w:ind w:left="849" w:hanging="36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4" w15:restartNumberingAfterBreak="0">
    <w:nsid w:val="3354506D"/>
    <w:multiLevelType w:val="hybridMultilevel"/>
    <w:tmpl w:val="C72ED418"/>
    <w:lvl w:ilvl="0" w:tplc="0DA4ABBC">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5" w15:restartNumberingAfterBreak="0">
    <w:nsid w:val="33760110"/>
    <w:multiLevelType w:val="hybridMultilevel"/>
    <w:tmpl w:val="BC08F322"/>
    <w:lvl w:ilvl="0" w:tplc="B1F69D52">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6" w15:restartNumberingAfterBreak="0">
    <w:nsid w:val="346C3E64"/>
    <w:multiLevelType w:val="hybridMultilevel"/>
    <w:tmpl w:val="6DBC6142"/>
    <w:lvl w:ilvl="0" w:tplc="BE22A284">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7" w15:restartNumberingAfterBreak="0">
    <w:nsid w:val="39373C79"/>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8" w15:restartNumberingAfterBreak="0">
    <w:nsid w:val="400D7C07"/>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9" w15:restartNumberingAfterBreak="0">
    <w:nsid w:val="52554873"/>
    <w:multiLevelType w:val="hybridMultilevel"/>
    <w:tmpl w:val="6A6E769A"/>
    <w:lvl w:ilvl="0" w:tplc="571078A2">
      <w:start w:val="1"/>
      <w:numFmt w:val="lowerRoman"/>
      <w:lvlText w:val="%1."/>
      <w:lvlJc w:val="left"/>
      <w:pPr>
        <w:ind w:left="2167" w:hanging="72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20" w15:restartNumberingAfterBreak="0">
    <w:nsid w:val="52827CD9"/>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21" w15:restartNumberingAfterBreak="0">
    <w:nsid w:val="549F296F"/>
    <w:multiLevelType w:val="hybridMultilevel"/>
    <w:tmpl w:val="34946E4A"/>
    <w:lvl w:ilvl="0" w:tplc="645A4D2A">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2" w15:restartNumberingAfterBreak="0">
    <w:nsid w:val="570B7B6C"/>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23" w15:restartNumberingAfterBreak="0">
    <w:nsid w:val="5DAE24DB"/>
    <w:multiLevelType w:val="hybridMultilevel"/>
    <w:tmpl w:val="B2084C6A"/>
    <w:lvl w:ilvl="0" w:tplc="1076DFC4">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4" w15:restartNumberingAfterBreak="0">
    <w:nsid w:val="60A02722"/>
    <w:multiLevelType w:val="hybridMultilevel"/>
    <w:tmpl w:val="C2D87E58"/>
    <w:lvl w:ilvl="0" w:tplc="06262340">
      <w:start w:val="1"/>
      <w:numFmt w:val="decimal"/>
      <w:lvlText w:val="%1."/>
      <w:lvlJc w:val="left"/>
      <w:pPr>
        <w:ind w:left="1583" w:hanging="360"/>
      </w:pPr>
      <w:rPr>
        <w:rFonts w:hint="default"/>
      </w:rPr>
    </w:lvl>
    <w:lvl w:ilvl="1" w:tplc="04090019" w:tentative="1">
      <w:start w:val="1"/>
      <w:numFmt w:val="ideographTraditional"/>
      <w:lvlText w:val="%2、"/>
      <w:lvlJc w:val="left"/>
      <w:pPr>
        <w:ind w:left="2183" w:hanging="480"/>
      </w:pPr>
    </w:lvl>
    <w:lvl w:ilvl="2" w:tplc="0409001B" w:tentative="1">
      <w:start w:val="1"/>
      <w:numFmt w:val="lowerRoman"/>
      <w:lvlText w:val="%3."/>
      <w:lvlJc w:val="right"/>
      <w:pPr>
        <w:ind w:left="2663" w:hanging="480"/>
      </w:pPr>
    </w:lvl>
    <w:lvl w:ilvl="3" w:tplc="0409000F" w:tentative="1">
      <w:start w:val="1"/>
      <w:numFmt w:val="decimal"/>
      <w:lvlText w:val="%4."/>
      <w:lvlJc w:val="left"/>
      <w:pPr>
        <w:ind w:left="3143" w:hanging="480"/>
      </w:pPr>
    </w:lvl>
    <w:lvl w:ilvl="4" w:tplc="04090019" w:tentative="1">
      <w:start w:val="1"/>
      <w:numFmt w:val="ideographTraditional"/>
      <w:lvlText w:val="%5、"/>
      <w:lvlJc w:val="left"/>
      <w:pPr>
        <w:ind w:left="3623" w:hanging="480"/>
      </w:pPr>
    </w:lvl>
    <w:lvl w:ilvl="5" w:tplc="0409001B" w:tentative="1">
      <w:start w:val="1"/>
      <w:numFmt w:val="lowerRoman"/>
      <w:lvlText w:val="%6."/>
      <w:lvlJc w:val="right"/>
      <w:pPr>
        <w:ind w:left="4103" w:hanging="480"/>
      </w:pPr>
    </w:lvl>
    <w:lvl w:ilvl="6" w:tplc="0409000F" w:tentative="1">
      <w:start w:val="1"/>
      <w:numFmt w:val="decimal"/>
      <w:lvlText w:val="%7."/>
      <w:lvlJc w:val="left"/>
      <w:pPr>
        <w:ind w:left="4583" w:hanging="480"/>
      </w:pPr>
    </w:lvl>
    <w:lvl w:ilvl="7" w:tplc="04090019" w:tentative="1">
      <w:start w:val="1"/>
      <w:numFmt w:val="ideographTraditional"/>
      <w:lvlText w:val="%8、"/>
      <w:lvlJc w:val="left"/>
      <w:pPr>
        <w:ind w:left="5063" w:hanging="480"/>
      </w:pPr>
    </w:lvl>
    <w:lvl w:ilvl="8" w:tplc="0409001B" w:tentative="1">
      <w:start w:val="1"/>
      <w:numFmt w:val="lowerRoman"/>
      <w:lvlText w:val="%9."/>
      <w:lvlJc w:val="right"/>
      <w:pPr>
        <w:ind w:left="5543" w:hanging="480"/>
      </w:pPr>
    </w:lvl>
  </w:abstractNum>
  <w:abstractNum w:abstractNumId="25" w15:restartNumberingAfterBreak="0">
    <w:nsid w:val="60A55FA8"/>
    <w:multiLevelType w:val="hybridMultilevel"/>
    <w:tmpl w:val="77C64518"/>
    <w:lvl w:ilvl="0" w:tplc="F606CD76">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6" w15:restartNumberingAfterBreak="0">
    <w:nsid w:val="62867B56"/>
    <w:multiLevelType w:val="hybridMultilevel"/>
    <w:tmpl w:val="AE8A6BB8"/>
    <w:lvl w:ilvl="0" w:tplc="D3B8E0E0">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7" w15:restartNumberingAfterBreak="0">
    <w:nsid w:val="6F6E1F48"/>
    <w:multiLevelType w:val="hybridMultilevel"/>
    <w:tmpl w:val="3F5E817E"/>
    <w:lvl w:ilvl="0" w:tplc="674E937C">
      <w:start w:val="1"/>
      <w:numFmt w:val="decimal"/>
      <w:lvlText w:val="%1."/>
      <w:lvlJc w:val="left"/>
      <w:pPr>
        <w:ind w:left="1447" w:hanging="360"/>
      </w:pPr>
      <w:rPr>
        <w:rFonts w:ascii="Times New Roman" w:eastAsia="標楷體" w:hAnsi="Times New Roman" w:cs="Times New Roman"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8" w15:restartNumberingAfterBreak="0">
    <w:nsid w:val="74D9054D"/>
    <w:multiLevelType w:val="hybridMultilevel"/>
    <w:tmpl w:val="3F4481EC"/>
    <w:lvl w:ilvl="0" w:tplc="C4A0D788">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num w:numId="1">
    <w:abstractNumId w:val="0"/>
  </w:num>
  <w:num w:numId="2">
    <w:abstractNumId w:val="22"/>
  </w:num>
  <w:num w:numId="3">
    <w:abstractNumId w:val="16"/>
  </w:num>
  <w:num w:numId="4">
    <w:abstractNumId w:val="23"/>
  </w:num>
  <w:num w:numId="5">
    <w:abstractNumId w:val="2"/>
  </w:num>
  <w:num w:numId="6">
    <w:abstractNumId w:val="9"/>
  </w:num>
  <w:num w:numId="7">
    <w:abstractNumId w:val="8"/>
  </w:num>
  <w:num w:numId="8">
    <w:abstractNumId w:val="17"/>
  </w:num>
  <w:num w:numId="9">
    <w:abstractNumId w:val="24"/>
  </w:num>
  <w:num w:numId="10">
    <w:abstractNumId w:val="11"/>
  </w:num>
  <w:num w:numId="11">
    <w:abstractNumId w:val="18"/>
  </w:num>
  <w:num w:numId="12">
    <w:abstractNumId w:val="4"/>
  </w:num>
  <w:num w:numId="13">
    <w:abstractNumId w:val="7"/>
  </w:num>
  <w:num w:numId="14">
    <w:abstractNumId w:val="21"/>
  </w:num>
  <w:num w:numId="15">
    <w:abstractNumId w:val="25"/>
  </w:num>
  <w:num w:numId="16">
    <w:abstractNumId w:val="3"/>
  </w:num>
  <w:num w:numId="17">
    <w:abstractNumId w:val="27"/>
  </w:num>
  <w:num w:numId="18">
    <w:abstractNumId w:val="28"/>
  </w:num>
  <w:num w:numId="19">
    <w:abstractNumId w:val="20"/>
  </w:num>
  <w:num w:numId="20">
    <w:abstractNumId w:val="13"/>
  </w:num>
  <w:num w:numId="21">
    <w:abstractNumId w:val="26"/>
  </w:num>
  <w:num w:numId="22">
    <w:abstractNumId w:val="14"/>
  </w:num>
  <w:num w:numId="23">
    <w:abstractNumId w:val="6"/>
  </w:num>
  <w:num w:numId="24">
    <w:abstractNumId w:val="15"/>
  </w:num>
  <w:num w:numId="25">
    <w:abstractNumId w:val="19"/>
  </w:num>
  <w:num w:numId="26">
    <w:abstractNumId w:val="5"/>
  </w:num>
  <w:num w:numId="27">
    <w:abstractNumId w:val="12"/>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3D"/>
    <w:rsid w:val="00001330"/>
    <w:rsid w:val="00010554"/>
    <w:rsid w:val="00012854"/>
    <w:rsid w:val="00016FED"/>
    <w:rsid w:val="000572A4"/>
    <w:rsid w:val="00061016"/>
    <w:rsid w:val="000627E3"/>
    <w:rsid w:val="00063EE0"/>
    <w:rsid w:val="00066393"/>
    <w:rsid w:val="000731C7"/>
    <w:rsid w:val="00076B9F"/>
    <w:rsid w:val="00091139"/>
    <w:rsid w:val="0009211C"/>
    <w:rsid w:val="000970FD"/>
    <w:rsid w:val="000C249A"/>
    <w:rsid w:val="000D3EA1"/>
    <w:rsid w:val="00107C50"/>
    <w:rsid w:val="00117D27"/>
    <w:rsid w:val="00144921"/>
    <w:rsid w:val="001755C3"/>
    <w:rsid w:val="00177357"/>
    <w:rsid w:val="001A5441"/>
    <w:rsid w:val="001A5FD7"/>
    <w:rsid w:val="001B3D9E"/>
    <w:rsid w:val="001D78DF"/>
    <w:rsid w:val="001F5F23"/>
    <w:rsid w:val="001F6069"/>
    <w:rsid w:val="00215A28"/>
    <w:rsid w:val="0021750E"/>
    <w:rsid w:val="0022623A"/>
    <w:rsid w:val="002277AF"/>
    <w:rsid w:val="0023368F"/>
    <w:rsid w:val="00273FEF"/>
    <w:rsid w:val="00297AF6"/>
    <w:rsid w:val="002A3E12"/>
    <w:rsid w:val="002B1609"/>
    <w:rsid w:val="003042A8"/>
    <w:rsid w:val="00304A37"/>
    <w:rsid w:val="00310A5D"/>
    <w:rsid w:val="00340BD2"/>
    <w:rsid w:val="00343435"/>
    <w:rsid w:val="003505E6"/>
    <w:rsid w:val="00372BD9"/>
    <w:rsid w:val="00375CE9"/>
    <w:rsid w:val="00380AB3"/>
    <w:rsid w:val="0038272F"/>
    <w:rsid w:val="0038555C"/>
    <w:rsid w:val="003A657F"/>
    <w:rsid w:val="003B7997"/>
    <w:rsid w:val="003C3A2B"/>
    <w:rsid w:val="003F3288"/>
    <w:rsid w:val="003F37B3"/>
    <w:rsid w:val="003F3AA6"/>
    <w:rsid w:val="004137FA"/>
    <w:rsid w:val="0041507A"/>
    <w:rsid w:val="00416A03"/>
    <w:rsid w:val="004602F6"/>
    <w:rsid w:val="00466E76"/>
    <w:rsid w:val="00490218"/>
    <w:rsid w:val="00494902"/>
    <w:rsid w:val="00496DFC"/>
    <w:rsid w:val="004D52E4"/>
    <w:rsid w:val="004E5571"/>
    <w:rsid w:val="00503126"/>
    <w:rsid w:val="0051385A"/>
    <w:rsid w:val="00515107"/>
    <w:rsid w:val="00536FB6"/>
    <w:rsid w:val="00540CF8"/>
    <w:rsid w:val="00551A41"/>
    <w:rsid w:val="00552A9C"/>
    <w:rsid w:val="0056788E"/>
    <w:rsid w:val="00575741"/>
    <w:rsid w:val="0059602E"/>
    <w:rsid w:val="005A7C4A"/>
    <w:rsid w:val="005C1B49"/>
    <w:rsid w:val="005D0ABF"/>
    <w:rsid w:val="005E0093"/>
    <w:rsid w:val="005E65A3"/>
    <w:rsid w:val="005E6FC4"/>
    <w:rsid w:val="00605487"/>
    <w:rsid w:val="0063609F"/>
    <w:rsid w:val="006428D0"/>
    <w:rsid w:val="0065682B"/>
    <w:rsid w:val="00684668"/>
    <w:rsid w:val="00686550"/>
    <w:rsid w:val="00697B77"/>
    <w:rsid w:val="006D362B"/>
    <w:rsid w:val="006E1FFE"/>
    <w:rsid w:val="006E2412"/>
    <w:rsid w:val="006E746F"/>
    <w:rsid w:val="006F6AF9"/>
    <w:rsid w:val="00705A4E"/>
    <w:rsid w:val="00717547"/>
    <w:rsid w:val="007272DC"/>
    <w:rsid w:val="007509DE"/>
    <w:rsid w:val="007538EF"/>
    <w:rsid w:val="007545C8"/>
    <w:rsid w:val="00771AF4"/>
    <w:rsid w:val="00772355"/>
    <w:rsid w:val="00783670"/>
    <w:rsid w:val="00796AFA"/>
    <w:rsid w:val="007A54B7"/>
    <w:rsid w:val="007E2301"/>
    <w:rsid w:val="00836F0D"/>
    <w:rsid w:val="00854C84"/>
    <w:rsid w:val="008551BE"/>
    <w:rsid w:val="008630F1"/>
    <w:rsid w:val="008665A6"/>
    <w:rsid w:val="00882224"/>
    <w:rsid w:val="00884FEC"/>
    <w:rsid w:val="008B54FE"/>
    <w:rsid w:val="008D5404"/>
    <w:rsid w:val="008E383D"/>
    <w:rsid w:val="008E4E2C"/>
    <w:rsid w:val="008E60FE"/>
    <w:rsid w:val="00900CE8"/>
    <w:rsid w:val="00911674"/>
    <w:rsid w:val="0092126C"/>
    <w:rsid w:val="00924754"/>
    <w:rsid w:val="009445E2"/>
    <w:rsid w:val="009513A6"/>
    <w:rsid w:val="009951BE"/>
    <w:rsid w:val="009A34FA"/>
    <w:rsid w:val="009B1424"/>
    <w:rsid w:val="009C3C82"/>
    <w:rsid w:val="009C553C"/>
    <w:rsid w:val="009D4299"/>
    <w:rsid w:val="00A02087"/>
    <w:rsid w:val="00A15E87"/>
    <w:rsid w:val="00A16E48"/>
    <w:rsid w:val="00A26CC5"/>
    <w:rsid w:val="00A35A67"/>
    <w:rsid w:val="00A67324"/>
    <w:rsid w:val="00A7187B"/>
    <w:rsid w:val="00A84CDF"/>
    <w:rsid w:val="00AA1FBF"/>
    <w:rsid w:val="00AA6135"/>
    <w:rsid w:val="00AB6C66"/>
    <w:rsid w:val="00AC4029"/>
    <w:rsid w:val="00AD2448"/>
    <w:rsid w:val="00B0091A"/>
    <w:rsid w:val="00B04E72"/>
    <w:rsid w:val="00BC11AA"/>
    <w:rsid w:val="00BD0270"/>
    <w:rsid w:val="00BD6207"/>
    <w:rsid w:val="00BF3499"/>
    <w:rsid w:val="00C46157"/>
    <w:rsid w:val="00C46E7F"/>
    <w:rsid w:val="00C8060A"/>
    <w:rsid w:val="00C81805"/>
    <w:rsid w:val="00C94FDB"/>
    <w:rsid w:val="00C9550A"/>
    <w:rsid w:val="00CA37D8"/>
    <w:rsid w:val="00CB1096"/>
    <w:rsid w:val="00CB730C"/>
    <w:rsid w:val="00CC37C6"/>
    <w:rsid w:val="00CD2FF5"/>
    <w:rsid w:val="00CD72F6"/>
    <w:rsid w:val="00CF0A97"/>
    <w:rsid w:val="00D042D8"/>
    <w:rsid w:val="00D22E00"/>
    <w:rsid w:val="00D24F7B"/>
    <w:rsid w:val="00D36166"/>
    <w:rsid w:val="00D3636D"/>
    <w:rsid w:val="00D44F78"/>
    <w:rsid w:val="00D519EC"/>
    <w:rsid w:val="00D53082"/>
    <w:rsid w:val="00DD2E23"/>
    <w:rsid w:val="00E26293"/>
    <w:rsid w:val="00E543B9"/>
    <w:rsid w:val="00E660AA"/>
    <w:rsid w:val="00E74ADF"/>
    <w:rsid w:val="00EA05E7"/>
    <w:rsid w:val="00EB1507"/>
    <w:rsid w:val="00EB636C"/>
    <w:rsid w:val="00EE2C06"/>
    <w:rsid w:val="00EF15C4"/>
    <w:rsid w:val="00F06748"/>
    <w:rsid w:val="00F1501D"/>
    <w:rsid w:val="00F27405"/>
    <w:rsid w:val="00F31A49"/>
    <w:rsid w:val="00F35B5A"/>
    <w:rsid w:val="00F4277F"/>
    <w:rsid w:val="00F50FB3"/>
    <w:rsid w:val="00F53584"/>
    <w:rsid w:val="00F65745"/>
    <w:rsid w:val="00F71D7B"/>
    <w:rsid w:val="00F7317B"/>
    <w:rsid w:val="00F75DB5"/>
    <w:rsid w:val="00F809E2"/>
    <w:rsid w:val="00F931D2"/>
    <w:rsid w:val="00F94227"/>
    <w:rsid w:val="00F97069"/>
    <w:rsid w:val="00F97248"/>
    <w:rsid w:val="00FA3BD0"/>
    <w:rsid w:val="00FC1A93"/>
    <w:rsid w:val="00FC3626"/>
    <w:rsid w:val="00FC69DD"/>
    <w:rsid w:val="00FE26EA"/>
    <w:rsid w:val="00FE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83EE"/>
  <w15:chartTrackingRefBased/>
  <w15:docId w15:val="{7F785EE2-F100-4874-AD25-1526BE52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83D"/>
    <w:pPr>
      <w:ind w:leftChars="200" w:left="480"/>
    </w:pPr>
  </w:style>
  <w:style w:type="table" w:styleId="a4">
    <w:name w:val="Table Grid"/>
    <w:basedOn w:val="a1"/>
    <w:rsid w:val="008E383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805"/>
    <w:pPr>
      <w:tabs>
        <w:tab w:val="center" w:pos="4153"/>
        <w:tab w:val="right" w:pos="8306"/>
      </w:tabs>
      <w:snapToGrid w:val="0"/>
    </w:pPr>
    <w:rPr>
      <w:sz w:val="20"/>
      <w:szCs w:val="20"/>
    </w:rPr>
  </w:style>
  <w:style w:type="character" w:customStyle="1" w:styleId="a6">
    <w:name w:val="頁首 字元"/>
    <w:basedOn w:val="a0"/>
    <w:link w:val="a5"/>
    <w:uiPriority w:val="99"/>
    <w:rsid w:val="00C81805"/>
    <w:rPr>
      <w:sz w:val="20"/>
      <w:szCs w:val="20"/>
    </w:rPr>
  </w:style>
  <w:style w:type="paragraph" w:styleId="a7">
    <w:name w:val="footer"/>
    <w:basedOn w:val="a"/>
    <w:link w:val="a8"/>
    <w:uiPriority w:val="99"/>
    <w:unhideWhenUsed/>
    <w:rsid w:val="00C81805"/>
    <w:pPr>
      <w:tabs>
        <w:tab w:val="center" w:pos="4153"/>
        <w:tab w:val="right" w:pos="8306"/>
      </w:tabs>
      <w:snapToGrid w:val="0"/>
    </w:pPr>
    <w:rPr>
      <w:sz w:val="20"/>
      <w:szCs w:val="20"/>
    </w:rPr>
  </w:style>
  <w:style w:type="character" w:customStyle="1" w:styleId="a8">
    <w:name w:val="頁尾 字元"/>
    <w:basedOn w:val="a0"/>
    <w:link w:val="a7"/>
    <w:uiPriority w:val="99"/>
    <w:rsid w:val="00C81805"/>
    <w:rPr>
      <w:sz w:val="20"/>
      <w:szCs w:val="20"/>
    </w:rPr>
  </w:style>
  <w:style w:type="paragraph" w:styleId="a9">
    <w:name w:val="Balloon Text"/>
    <w:basedOn w:val="a"/>
    <w:link w:val="aa"/>
    <w:uiPriority w:val="99"/>
    <w:semiHidden/>
    <w:unhideWhenUsed/>
    <w:rsid w:val="002B16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4</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2022-08-15T03:01:00Z</cp:lastPrinted>
  <dcterms:created xsi:type="dcterms:W3CDTF">2024-07-05T10:26:00Z</dcterms:created>
  <dcterms:modified xsi:type="dcterms:W3CDTF">2025-07-14T10:13:00Z</dcterms:modified>
</cp:coreProperties>
</file>