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D3" w:rsidRPr="00690C0E" w:rsidRDefault="00DD0DD3" w:rsidP="00690C0E">
      <w:pPr>
        <w:autoSpaceDE w:val="0"/>
        <w:autoSpaceDN w:val="0"/>
        <w:rPr>
          <w:rFonts w:ascii="標楷體" w:eastAsia="標楷體" w:cs="標楷體"/>
          <w:b/>
          <w:color w:val="000000" w:themeColor="text1"/>
          <w:kern w:val="0"/>
          <w:sz w:val="32"/>
          <w:szCs w:val="38"/>
        </w:rPr>
      </w:pPr>
      <w:r w:rsidRPr="00690C0E">
        <w:rPr>
          <w:rFonts w:ascii="標楷體" w:eastAsia="標楷體" w:cs="標楷體" w:hint="eastAsia"/>
          <w:b/>
          <w:color w:val="000000" w:themeColor="text1"/>
          <w:kern w:val="0"/>
          <w:sz w:val="32"/>
          <w:szCs w:val="38"/>
        </w:rPr>
        <w:t>高雄醫學大學標準化病人聯誼會章程</w:t>
      </w:r>
    </w:p>
    <w:p w:rsidR="00DD0DD3" w:rsidRPr="00690C0E" w:rsidRDefault="00DD0DD3" w:rsidP="003A7506">
      <w:pPr>
        <w:spacing w:line="0" w:lineRule="atLeast"/>
        <w:ind w:firstLineChars="2126" w:firstLine="4252"/>
        <w:rPr>
          <w:rFonts w:eastAsia="標楷體"/>
          <w:sz w:val="20"/>
        </w:rPr>
      </w:pPr>
      <w:r w:rsidRPr="00690C0E">
        <w:rPr>
          <w:rFonts w:eastAsia="標楷體"/>
          <w:sz w:val="20"/>
        </w:rPr>
        <w:t xml:space="preserve">101.10.22 </w:t>
      </w:r>
      <w:r w:rsidR="003A7506">
        <w:rPr>
          <w:rFonts w:eastAsia="標楷體" w:hint="eastAsia"/>
          <w:sz w:val="20"/>
        </w:rPr>
        <w:t xml:space="preserve"> </w:t>
      </w:r>
      <w:r w:rsidRPr="00690C0E">
        <w:rPr>
          <w:rFonts w:eastAsia="標楷體"/>
          <w:sz w:val="20"/>
        </w:rPr>
        <w:t>101</w:t>
      </w:r>
      <w:r w:rsidRPr="00690C0E">
        <w:rPr>
          <w:rFonts w:eastAsia="標楷體"/>
          <w:sz w:val="20"/>
        </w:rPr>
        <w:t>學年度第</w:t>
      </w:r>
      <w:r w:rsidR="003A7506">
        <w:rPr>
          <w:rFonts w:eastAsia="標楷體" w:hint="eastAsia"/>
          <w:sz w:val="20"/>
        </w:rPr>
        <w:t>1</w:t>
      </w:r>
      <w:r w:rsidRPr="00690C0E">
        <w:rPr>
          <w:rFonts w:eastAsia="標楷體"/>
          <w:sz w:val="20"/>
        </w:rPr>
        <w:t>次臨床技能發展委員決議成立</w:t>
      </w:r>
      <w:r w:rsidRPr="00690C0E">
        <w:rPr>
          <w:rFonts w:eastAsia="標楷體"/>
          <w:sz w:val="20"/>
        </w:rPr>
        <w:t xml:space="preserve"> </w:t>
      </w:r>
    </w:p>
    <w:p w:rsidR="00DD0DD3" w:rsidRPr="00690C0E" w:rsidRDefault="00DD0DD3" w:rsidP="003A7506">
      <w:pPr>
        <w:spacing w:line="0" w:lineRule="atLeast"/>
        <w:ind w:firstLineChars="2126" w:firstLine="4252"/>
        <w:rPr>
          <w:rFonts w:eastAsia="標楷體"/>
          <w:sz w:val="20"/>
        </w:rPr>
      </w:pPr>
      <w:r w:rsidRPr="00690C0E">
        <w:rPr>
          <w:rFonts w:eastAsia="標楷體"/>
          <w:sz w:val="20"/>
        </w:rPr>
        <w:t>102.03.23</w:t>
      </w:r>
      <w:r w:rsidR="003A7506">
        <w:rPr>
          <w:rFonts w:eastAsia="標楷體" w:hint="eastAsia"/>
          <w:sz w:val="20"/>
        </w:rPr>
        <w:t xml:space="preserve"> </w:t>
      </w:r>
      <w:r w:rsidRPr="00690C0E">
        <w:rPr>
          <w:rFonts w:eastAsia="標楷體"/>
          <w:sz w:val="20"/>
        </w:rPr>
        <w:t xml:space="preserve"> 101</w:t>
      </w:r>
      <w:r w:rsidRPr="00690C0E">
        <w:rPr>
          <w:rFonts w:eastAsia="標楷體"/>
          <w:sz w:val="20"/>
        </w:rPr>
        <w:t>學年度第</w:t>
      </w:r>
      <w:r w:rsidR="003A7506">
        <w:rPr>
          <w:rFonts w:eastAsia="標楷體" w:hint="eastAsia"/>
          <w:sz w:val="20"/>
        </w:rPr>
        <w:t>1</w:t>
      </w:r>
      <w:bookmarkStart w:id="0" w:name="_GoBack"/>
      <w:bookmarkEnd w:id="0"/>
      <w:r w:rsidRPr="00690C0E">
        <w:rPr>
          <w:rFonts w:eastAsia="標楷體"/>
          <w:sz w:val="20"/>
        </w:rPr>
        <w:t>屆標準化病人聯誼會會員大會通過</w:t>
      </w:r>
      <w:r w:rsidRPr="00690C0E">
        <w:rPr>
          <w:rFonts w:eastAsia="標楷體"/>
          <w:sz w:val="20"/>
        </w:rPr>
        <w:t xml:space="preserve"> </w:t>
      </w:r>
    </w:p>
    <w:p w:rsidR="00DD0DD3" w:rsidRPr="00690C0E" w:rsidRDefault="00DD0DD3" w:rsidP="003A7506">
      <w:pPr>
        <w:spacing w:line="0" w:lineRule="atLeast"/>
        <w:ind w:firstLineChars="2126" w:firstLine="4252"/>
        <w:rPr>
          <w:rFonts w:eastAsia="標楷體"/>
          <w:sz w:val="20"/>
        </w:rPr>
      </w:pPr>
      <w:r w:rsidRPr="00690C0E">
        <w:rPr>
          <w:rFonts w:eastAsia="標楷體"/>
          <w:sz w:val="20"/>
        </w:rPr>
        <w:t xml:space="preserve">102.06.06 </w:t>
      </w:r>
      <w:r w:rsidR="003A7506">
        <w:rPr>
          <w:rFonts w:eastAsia="標楷體" w:hint="eastAsia"/>
          <w:sz w:val="20"/>
        </w:rPr>
        <w:t xml:space="preserve"> </w:t>
      </w:r>
      <w:r w:rsidRPr="00690C0E">
        <w:rPr>
          <w:rFonts w:eastAsia="標楷體"/>
          <w:sz w:val="20"/>
        </w:rPr>
        <w:t>101</w:t>
      </w:r>
      <w:r w:rsidRPr="00690C0E">
        <w:rPr>
          <w:rFonts w:eastAsia="標楷體"/>
          <w:sz w:val="20"/>
        </w:rPr>
        <w:t>學年度第</w:t>
      </w:r>
      <w:r w:rsidRPr="00690C0E">
        <w:rPr>
          <w:rFonts w:eastAsia="標楷體"/>
          <w:sz w:val="20"/>
        </w:rPr>
        <w:t>2</w:t>
      </w:r>
      <w:r w:rsidRPr="00690C0E">
        <w:rPr>
          <w:rFonts w:eastAsia="標楷體"/>
          <w:sz w:val="20"/>
        </w:rPr>
        <w:t>次臨床技能發展委員會通過</w:t>
      </w:r>
      <w:r w:rsidRPr="00690C0E">
        <w:rPr>
          <w:rFonts w:eastAsia="標楷體"/>
          <w:sz w:val="20"/>
        </w:rPr>
        <w:t xml:space="preserve"> </w:t>
      </w:r>
    </w:p>
    <w:p w:rsidR="00DD0DD3" w:rsidRPr="00690C0E" w:rsidRDefault="00DD0DD3" w:rsidP="003A7506">
      <w:pPr>
        <w:spacing w:line="0" w:lineRule="atLeast"/>
        <w:ind w:firstLineChars="2126" w:firstLine="4252"/>
        <w:rPr>
          <w:rFonts w:eastAsia="標楷體"/>
          <w:sz w:val="20"/>
        </w:rPr>
      </w:pPr>
      <w:r w:rsidRPr="00690C0E">
        <w:rPr>
          <w:rFonts w:eastAsia="標楷體"/>
          <w:sz w:val="20"/>
        </w:rPr>
        <w:t xml:space="preserve">102.07.04 </w:t>
      </w:r>
      <w:r w:rsidR="003A7506">
        <w:rPr>
          <w:rFonts w:eastAsia="標楷體" w:hint="eastAsia"/>
          <w:sz w:val="20"/>
        </w:rPr>
        <w:t xml:space="preserve"> </w:t>
      </w:r>
      <w:r w:rsidRPr="00690C0E">
        <w:rPr>
          <w:rFonts w:eastAsia="標楷體"/>
          <w:sz w:val="20"/>
        </w:rPr>
        <w:t>高</w:t>
      </w:r>
      <w:proofErr w:type="gramStart"/>
      <w:r w:rsidRPr="00690C0E">
        <w:rPr>
          <w:rFonts w:eastAsia="標楷體"/>
          <w:sz w:val="20"/>
        </w:rPr>
        <w:t>醫心教字</w:t>
      </w:r>
      <w:proofErr w:type="gramEnd"/>
      <w:r w:rsidRPr="00690C0E">
        <w:rPr>
          <w:rFonts w:eastAsia="標楷體"/>
          <w:sz w:val="20"/>
        </w:rPr>
        <w:t>第</w:t>
      </w:r>
      <w:r w:rsidRPr="00690C0E">
        <w:rPr>
          <w:rFonts w:eastAsia="標楷體"/>
          <w:sz w:val="20"/>
        </w:rPr>
        <w:t>1021102022</w:t>
      </w:r>
      <w:r w:rsidRPr="00690C0E">
        <w:rPr>
          <w:rFonts w:eastAsia="標楷體"/>
          <w:sz w:val="20"/>
        </w:rPr>
        <w:t>號公布</w:t>
      </w:r>
    </w:p>
    <w:p w:rsidR="00DD0DD3" w:rsidRPr="00690C0E" w:rsidRDefault="00DD0DD3" w:rsidP="003A7506">
      <w:pPr>
        <w:spacing w:line="0" w:lineRule="atLeast"/>
        <w:ind w:firstLineChars="2126" w:firstLine="4252"/>
        <w:rPr>
          <w:rFonts w:eastAsia="標楷體"/>
          <w:sz w:val="20"/>
        </w:rPr>
      </w:pPr>
      <w:r w:rsidRPr="00690C0E">
        <w:rPr>
          <w:rFonts w:eastAsia="標楷體"/>
          <w:sz w:val="20"/>
        </w:rPr>
        <w:t xml:space="preserve">103.06.10 </w:t>
      </w:r>
      <w:r w:rsidR="003A7506">
        <w:rPr>
          <w:rFonts w:eastAsia="標楷體" w:hint="eastAsia"/>
          <w:sz w:val="20"/>
        </w:rPr>
        <w:t xml:space="preserve"> </w:t>
      </w:r>
      <w:r w:rsidRPr="00690C0E">
        <w:rPr>
          <w:rFonts w:eastAsia="標楷體"/>
          <w:sz w:val="20"/>
        </w:rPr>
        <w:t>102</w:t>
      </w:r>
      <w:r w:rsidRPr="00690C0E">
        <w:rPr>
          <w:rFonts w:eastAsia="標楷體"/>
          <w:sz w:val="20"/>
        </w:rPr>
        <w:t>學年度第</w:t>
      </w:r>
      <w:r w:rsidR="003A7506">
        <w:rPr>
          <w:rFonts w:eastAsia="標楷體" w:hint="eastAsia"/>
          <w:sz w:val="20"/>
        </w:rPr>
        <w:t>2</w:t>
      </w:r>
      <w:r w:rsidRPr="00690C0E">
        <w:rPr>
          <w:rFonts w:eastAsia="標楷體"/>
          <w:sz w:val="20"/>
        </w:rPr>
        <w:t>次臨床技能發展委員會修訂通過</w:t>
      </w:r>
    </w:p>
    <w:p w:rsidR="00690C0E" w:rsidRPr="00690C0E" w:rsidRDefault="00690C0E" w:rsidP="003A7506">
      <w:pPr>
        <w:spacing w:afterLines="50" w:after="180" w:line="0" w:lineRule="atLeast"/>
        <w:ind w:firstLineChars="2126" w:firstLine="4252"/>
        <w:rPr>
          <w:rFonts w:eastAsia="標楷體"/>
          <w:sz w:val="20"/>
        </w:rPr>
      </w:pPr>
      <w:r w:rsidRPr="00690C0E">
        <w:rPr>
          <w:rFonts w:eastAsia="標楷體"/>
          <w:sz w:val="20"/>
        </w:rPr>
        <w:t>103.08.22</w:t>
      </w:r>
      <w:r w:rsidR="003A7506">
        <w:rPr>
          <w:rFonts w:eastAsia="標楷體" w:hint="eastAsia"/>
          <w:sz w:val="20"/>
        </w:rPr>
        <w:t xml:space="preserve">  </w:t>
      </w:r>
      <w:r w:rsidRPr="00690C0E">
        <w:rPr>
          <w:rFonts w:eastAsia="標楷體"/>
          <w:sz w:val="20"/>
        </w:rPr>
        <w:t>高</w:t>
      </w:r>
      <w:proofErr w:type="gramStart"/>
      <w:r w:rsidRPr="00690C0E">
        <w:rPr>
          <w:rFonts w:eastAsia="標楷體"/>
          <w:sz w:val="20"/>
        </w:rPr>
        <w:t>醫心教字</w:t>
      </w:r>
      <w:proofErr w:type="gramEnd"/>
      <w:r w:rsidRPr="00690C0E">
        <w:rPr>
          <w:rFonts w:eastAsia="標楷體"/>
          <w:sz w:val="20"/>
        </w:rPr>
        <w:t>第</w:t>
      </w:r>
      <w:r w:rsidRPr="00690C0E">
        <w:rPr>
          <w:rFonts w:eastAsia="標楷體"/>
          <w:sz w:val="20"/>
        </w:rPr>
        <w:t>1031102401</w:t>
      </w:r>
      <w:r w:rsidRPr="00690C0E">
        <w:rPr>
          <w:rFonts w:eastAsia="標楷體"/>
          <w:sz w:val="20"/>
        </w:rPr>
        <w:t>號函公布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第一章　　總則</w:t>
      </w:r>
    </w:p>
    <w:p w:rsidR="00DD0DD3" w:rsidRPr="00164C65" w:rsidRDefault="00DD0DD3" w:rsidP="00690C0E">
      <w:pPr>
        <w:pStyle w:val="HTML"/>
        <w:ind w:left="1202" w:hangingChars="501" w:hanging="1202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第一條　　為推動高雄醫學大學(以下簡稱本校)及附設醫院標準化病人之招募與培訓，特設置「高雄醫學大學標準化病人聯誼會」（以下簡稱本會）。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第二條　　本會設立宗旨如下：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一、藉由標準化病人之専業發展與交流，協助醫學人文教育之發展。</w:t>
      </w:r>
    </w:p>
    <w:p w:rsidR="00DD0DD3" w:rsidRPr="00164C65" w:rsidRDefault="00DD0DD3" w:rsidP="00690C0E">
      <w:pPr>
        <w:pStyle w:val="HTML"/>
        <w:ind w:leftChars="502" w:left="1680" w:hangingChars="198" w:hanging="475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二、優質標準化病人的招募與培訓工作，以提升醫學教育之品質，培育現代化醫療專業人才，以服務社會及造福人群為宗旨。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第三條　　本會之任務如下：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一、促進標準化病人之專業發展與交流。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二、建立標準化病人聯絡管道與溝通平台。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三、協助高雄醫學大學之教學、評估與研究等各項活動之推展。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四、協助推動標準化病人認證制度。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五、促進標準化病人專業之學術發展。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六、參與</w:t>
      </w:r>
      <w:proofErr w:type="gramStart"/>
      <w:r w:rsidRPr="00164C65">
        <w:rPr>
          <w:rFonts w:ascii="標楷體" w:eastAsia="標楷體" w:hAnsi="標楷體" w:hint="eastAsia"/>
        </w:rPr>
        <w:t>醫</w:t>
      </w:r>
      <w:proofErr w:type="gramEnd"/>
      <w:r w:rsidRPr="00164C65">
        <w:rPr>
          <w:rFonts w:ascii="標楷體" w:eastAsia="標楷體" w:hAnsi="標楷體" w:hint="eastAsia"/>
        </w:rPr>
        <w:t>事人員專業技能證照國家考試。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第四條　　本會之執掌如下：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一、招募志願者以建立「標準化病人」人力銀行。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二、協助本校暨附設醫院訓練招募的志願者成為「標準化病人」。</w:t>
      </w:r>
    </w:p>
    <w:p w:rsidR="00DD0DD3" w:rsidRPr="00164C65" w:rsidRDefault="00DD0DD3" w:rsidP="00690C0E">
      <w:pPr>
        <w:pStyle w:val="HTML"/>
        <w:ind w:left="1680" w:hangingChars="700" w:hanging="1680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三、協助本校學生暨附設醫院相關臨床科別之</w:t>
      </w:r>
      <w:proofErr w:type="gramStart"/>
      <w:r w:rsidRPr="00164C65">
        <w:rPr>
          <w:rFonts w:ascii="標楷體" w:eastAsia="標楷體" w:hAnsi="標楷體" w:hint="eastAsia"/>
        </w:rPr>
        <w:t>醫</w:t>
      </w:r>
      <w:proofErr w:type="gramEnd"/>
      <w:r w:rsidRPr="00164C65">
        <w:rPr>
          <w:rFonts w:ascii="標楷體" w:eastAsia="標楷體" w:hAnsi="標楷體" w:hint="eastAsia"/>
        </w:rPr>
        <w:t>事人員實施臨床技能訓練與測驗。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四、舉辦各項聯誼活動，增進本校標準化病人之互動與認同感。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第五條　　本會之指導、監督單位為高雄醫學大學。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第六條　　本會會址設於高雄醫學大學。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第二章　會員</w:t>
      </w:r>
    </w:p>
    <w:p w:rsidR="00DD0DD3" w:rsidRPr="00164C65" w:rsidRDefault="00DD0DD3" w:rsidP="00690C0E">
      <w:pPr>
        <w:pStyle w:val="HTML"/>
        <w:ind w:left="1217" w:hangingChars="507" w:hanging="1217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第七條　　年滿二十至七十歲，對醫學教育充滿熱忱，填具入會申請書，始成為本會</w:t>
      </w:r>
      <w:proofErr w:type="gramStart"/>
      <w:r w:rsidRPr="00164C65">
        <w:rPr>
          <w:rFonts w:ascii="標楷體" w:eastAsia="標楷體" w:hAnsi="標楷體" w:hint="eastAsia"/>
        </w:rPr>
        <w:t>準</w:t>
      </w:r>
      <w:proofErr w:type="gramEnd"/>
      <w:r w:rsidRPr="00164C65">
        <w:rPr>
          <w:rFonts w:ascii="標楷體" w:eastAsia="標楷體" w:hAnsi="標楷體" w:hint="eastAsia"/>
        </w:rPr>
        <w:t>會員，如取得台灣醫學相關教育等學會認證之標準化病人，經審核後成為正式會員。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第八條　　本會會員之權利如下：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一、</w:t>
      </w:r>
      <w:proofErr w:type="gramStart"/>
      <w:r w:rsidRPr="00164C65">
        <w:rPr>
          <w:rFonts w:ascii="標楷體" w:eastAsia="標楷體" w:hAnsi="標楷體" w:hint="eastAsia"/>
        </w:rPr>
        <w:t>準</w:t>
      </w:r>
      <w:proofErr w:type="gramEnd"/>
      <w:r w:rsidRPr="00164C65">
        <w:rPr>
          <w:rFonts w:ascii="標楷體" w:eastAsia="標楷體" w:hAnsi="標楷體" w:hint="eastAsia"/>
        </w:rPr>
        <w:t>會員及正式會員得參與各項活動之權益。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二、僅正式會員具發言權、提案權及表決權。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三、僅正式會員具選舉權、被選舉權及罷免權。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第九條　　本會會員之義務如下：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一、遵守本會章程及決議案。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二、參加各項會議及活動。</w:t>
      </w:r>
    </w:p>
    <w:p w:rsidR="00DD0DD3" w:rsidRPr="00164C65" w:rsidRDefault="00DD0DD3" w:rsidP="00690C0E">
      <w:pPr>
        <w:pStyle w:val="HTML"/>
        <w:ind w:left="1202" w:hangingChars="501" w:hanging="1202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lastRenderedPageBreak/>
        <w:t>第十條　　會員有違反法令、章程或不遵守會員大會決議及標準化病人守則時，得經本會審核決議，予以警告或停權處分，如其危害團體情節重大者，予以除名。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第十一條　會員喪失會員資格或經會員大會決議除名者，即為出會。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第三章　　組織及職權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第十二條　會員大會為本會最高權力機構。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第十三條　會員大會之職權如下：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一、訂定與變更章程及組織。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二、選舉及罷免會長、副會長。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三、議決相關經費收支情形。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四、議決年度工作計畫。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五、議決會員之除名處分。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六、議決財產之解散。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七、議決會員權利義務有關之重大事項。</w:t>
      </w:r>
    </w:p>
    <w:p w:rsidR="00DD0DD3" w:rsidRPr="00164C65" w:rsidRDefault="00DD0DD3" w:rsidP="00690C0E">
      <w:pPr>
        <w:pStyle w:val="HTML"/>
        <w:ind w:left="1217" w:hangingChars="507" w:hanging="1217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第十四條　本會設置會長一人、副會長一人，由本會會員者推選產生，</w:t>
      </w:r>
      <w:r w:rsidRPr="005D0BF6">
        <w:rPr>
          <w:rFonts w:ascii="標楷體" w:eastAsia="標楷體" w:hAnsi="標楷體" w:hint="eastAsia"/>
          <w:u w:val="single"/>
        </w:rPr>
        <w:t>任期二年</w:t>
      </w:r>
      <w:r w:rsidRPr="00164C65">
        <w:rPr>
          <w:rFonts w:ascii="標楷體" w:eastAsia="標楷體" w:hAnsi="標楷體" w:hint="eastAsia"/>
        </w:rPr>
        <w:t>，連選得連任，會長及副會長代表本會參加台灣標準化病人協會之會員。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第十五條　會長之職權如下：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一、</w:t>
      </w:r>
      <w:proofErr w:type="gramStart"/>
      <w:r w:rsidRPr="00164C65">
        <w:rPr>
          <w:rFonts w:ascii="標楷體" w:eastAsia="標楷體" w:hAnsi="標楷體" w:hint="eastAsia"/>
        </w:rPr>
        <w:t>對內綜理</w:t>
      </w:r>
      <w:proofErr w:type="gramEnd"/>
      <w:r w:rsidRPr="00164C65">
        <w:rPr>
          <w:rFonts w:ascii="標楷體" w:eastAsia="標楷體" w:hAnsi="標楷體" w:hint="eastAsia"/>
        </w:rPr>
        <w:t>督導會務，對外代表本會。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二、擔任會員大會主席。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三、擬定年度工作計劃。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四、審定會員之資格。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五、辦理本會之聯誼會活動。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第十六條　本會得設下列組織，其人員執掌如下：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一、秘書長：1人，襄助會長辦理全盤會務。</w:t>
      </w:r>
    </w:p>
    <w:p w:rsidR="00DD0DD3" w:rsidRPr="00164C65" w:rsidRDefault="00DD0DD3" w:rsidP="00690C0E">
      <w:pPr>
        <w:pStyle w:val="HTML"/>
        <w:ind w:left="1680" w:hangingChars="700" w:hanging="1680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二、財務組：置組長1人，掌理本會年度收支、保管、帳目編製、報告、出納等事宜。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三、學術組：置組長1人，掌理學術發展、出版會刊等事宜。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四、活動組：置組長1人，掌理年度活動計劃及執行等事宜。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前項人員由會長聘任之，其任期與會長同。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本會組織需經會員大會通過後施行，修正時亦同。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第十七條　會長得聘請無給職顧問若干人，其聘期與會長任期同。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第四章　　會議</w:t>
      </w:r>
    </w:p>
    <w:p w:rsidR="00DD0DD3" w:rsidRPr="00164C65" w:rsidRDefault="00DD0DD3" w:rsidP="00690C0E">
      <w:pPr>
        <w:pStyle w:val="HTML"/>
        <w:ind w:left="1202" w:hangingChars="501" w:hanging="1202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第十八條　本會每年至少召開會員大會一次，必要時得召開臨時會員大會，討論臨時性重要社務。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臨時會員大會如會長認有必要或經會員五分之一之連署始可召開。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第十九條　每一位會員以代理一人為限。</w:t>
      </w:r>
    </w:p>
    <w:p w:rsidR="00DD0DD3" w:rsidRPr="00164C65" w:rsidRDefault="00DD0DD3" w:rsidP="00690C0E">
      <w:pPr>
        <w:pStyle w:val="HTML"/>
        <w:ind w:left="1202" w:hangingChars="501" w:hanging="1202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第二十條　會員大會應會員過半數之出席，並</w:t>
      </w:r>
      <w:proofErr w:type="gramStart"/>
      <w:r w:rsidRPr="00164C65">
        <w:rPr>
          <w:rFonts w:ascii="標楷體" w:eastAsia="標楷體" w:hAnsi="標楷體" w:hint="eastAsia"/>
        </w:rPr>
        <w:t>採</w:t>
      </w:r>
      <w:proofErr w:type="gramEnd"/>
      <w:r w:rsidRPr="00164C65">
        <w:rPr>
          <w:rFonts w:ascii="標楷體" w:eastAsia="標楷體" w:hAnsi="標楷體" w:hint="eastAsia"/>
        </w:rPr>
        <w:t>多數決方式決議。但章程之訂定與變更、會員之除名、會長及副會長之罷免、財產之處分、本會之解散及其他與會員權利義務有關之重大事項，應有出席人數三分之二以上同意。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第五章　　經費及會計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第二十一條　本會經費來源如下：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　一、捐款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　二、委託收益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　三、基金及其孽息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 xml:space="preserve">　　　　　　四、其他收入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第二十二條　本會會計年度以</w:t>
      </w:r>
      <w:proofErr w:type="gramStart"/>
      <w:r w:rsidRPr="00164C65">
        <w:rPr>
          <w:rFonts w:ascii="標楷體" w:eastAsia="標楷體" w:hAnsi="標楷體" w:hint="eastAsia"/>
        </w:rPr>
        <w:t>曆</w:t>
      </w:r>
      <w:proofErr w:type="gramEnd"/>
      <w:r w:rsidRPr="00164C65">
        <w:rPr>
          <w:rFonts w:ascii="標楷體" w:eastAsia="標楷體" w:hAnsi="標楷體" w:hint="eastAsia"/>
        </w:rPr>
        <w:t>年為</w:t>
      </w:r>
      <w:proofErr w:type="gramStart"/>
      <w:r w:rsidRPr="00164C65">
        <w:rPr>
          <w:rFonts w:ascii="標楷體" w:eastAsia="標楷體" w:hAnsi="標楷體" w:hint="eastAsia"/>
        </w:rPr>
        <w:t>準</w:t>
      </w:r>
      <w:proofErr w:type="gramEnd"/>
      <w:r w:rsidRPr="00164C65">
        <w:rPr>
          <w:rFonts w:ascii="標楷體" w:eastAsia="標楷體" w:hAnsi="標楷體" w:hint="eastAsia"/>
        </w:rPr>
        <w:t>，自每年一月一日起至十二月三十一日止。</w:t>
      </w:r>
    </w:p>
    <w:p w:rsidR="00DD0DD3" w:rsidRPr="00164C65" w:rsidRDefault="00DD0DD3" w:rsidP="00690C0E">
      <w:pPr>
        <w:pStyle w:val="HTML"/>
        <w:ind w:left="1440" w:hangingChars="600" w:hanging="1440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第二十三條　會員大會時，秘書長應編造年度工作計畫、</w:t>
      </w:r>
      <w:proofErr w:type="gramStart"/>
      <w:r w:rsidRPr="00164C65">
        <w:rPr>
          <w:rFonts w:ascii="標楷體" w:eastAsia="標楷體" w:hAnsi="標楷體" w:hint="eastAsia"/>
        </w:rPr>
        <w:t>財務組提收支</w:t>
      </w:r>
      <w:proofErr w:type="gramEnd"/>
      <w:r w:rsidRPr="00164C65">
        <w:rPr>
          <w:rFonts w:ascii="標楷體" w:eastAsia="標楷體" w:hAnsi="標楷體" w:hint="eastAsia"/>
        </w:rPr>
        <w:t>預決算表向大會提出報告、審核，以供確認。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第六章　　附則</w:t>
      </w:r>
    </w:p>
    <w:p w:rsidR="00DD0DD3" w:rsidRPr="00164C65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第二十四條　本章程如有未盡事宜，得經會員大會決議修正或訂定之。</w:t>
      </w:r>
    </w:p>
    <w:p w:rsidR="00DD0DD3" w:rsidRDefault="00DD0DD3" w:rsidP="00DD0DD3">
      <w:pPr>
        <w:pStyle w:val="HTML"/>
        <w:rPr>
          <w:rFonts w:ascii="標楷體" w:eastAsia="標楷體" w:hAnsi="標楷體"/>
        </w:rPr>
      </w:pPr>
      <w:r w:rsidRPr="00164C65">
        <w:rPr>
          <w:rFonts w:ascii="標楷體" w:eastAsia="標楷體" w:hAnsi="標楷體" w:hint="eastAsia"/>
        </w:rPr>
        <w:t>第二十五條　本章程經會員大會通過，報經本校核備後施行，修正時亦同。</w:t>
      </w:r>
    </w:p>
    <w:p w:rsidR="00DD0DD3" w:rsidRDefault="00DD0DD3" w:rsidP="00DD0DD3">
      <w:pPr>
        <w:pStyle w:val="HTML"/>
        <w:rPr>
          <w:rFonts w:ascii="標楷體" w:eastAsia="標楷體" w:hAnsi="標楷體"/>
        </w:rPr>
      </w:pPr>
    </w:p>
    <w:p w:rsidR="00DD0DD3" w:rsidRDefault="00DD0DD3" w:rsidP="00DD0DD3">
      <w:pPr>
        <w:pStyle w:val="HTML"/>
        <w:rPr>
          <w:rFonts w:ascii="標楷體" w:eastAsia="標楷體" w:hAnsi="標楷體"/>
        </w:rPr>
      </w:pPr>
    </w:p>
    <w:p w:rsidR="00DD0DD3" w:rsidRDefault="00DD0DD3" w:rsidP="00DD0DD3">
      <w:pPr>
        <w:pStyle w:val="HTML"/>
        <w:rPr>
          <w:rFonts w:ascii="標楷體" w:eastAsia="標楷體" w:hAnsi="標楷體"/>
        </w:rPr>
      </w:pPr>
    </w:p>
    <w:p w:rsidR="00DD0DD3" w:rsidRPr="00750C8D" w:rsidRDefault="00DD0DD3" w:rsidP="00DD0DD3">
      <w:pPr>
        <w:pStyle w:val="HTML"/>
        <w:rPr>
          <w:rFonts w:ascii="標楷體" w:eastAsia="標楷體" w:hAnsi="標楷體"/>
        </w:rPr>
      </w:pPr>
    </w:p>
    <w:p w:rsidR="00DD0DD3" w:rsidRDefault="00DD0DD3" w:rsidP="00DD0DD3">
      <w:pPr>
        <w:pStyle w:val="HTML"/>
        <w:rPr>
          <w:rFonts w:ascii="標楷體" w:eastAsia="標楷體" w:hAnsi="標楷體"/>
        </w:rPr>
      </w:pPr>
    </w:p>
    <w:p w:rsidR="00DD0DD3" w:rsidRDefault="00DD0DD3" w:rsidP="00DD0DD3">
      <w:pPr>
        <w:pStyle w:val="HTML"/>
        <w:rPr>
          <w:rFonts w:ascii="標楷體" w:eastAsia="標楷體" w:hAnsi="標楷體"/>
        </w:rPr>
      </w:pPr>
    </w:p>
    <w:p w:rsidR="00DD0DD3" w:rsidRDefault="00DD0DD3" w:rsidP="00DD0DD3">
      <w:pPr>
        <w:pStyle w:val="HTML"/>
        <w:rPr>
          <w:rFonts w:ascii="標楷體" w:eastAsia="標楷體" w:hAnsi="標楷體"/>
        </w:rPr>
      </w:pPr>
    </w:p>
    <w:p w:rsidR="009B779A" w:rsidRPr="00DD0DD3" w:rsidRDefault="009B779A"/>
    <w:sectPr w:rsidR="009B779A" w:rsidRPr="00DD0DD3" w:rsidSect="00690C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F0" w:rsidRDefault="00F248F0" w:rsidP="00750C8D">
      <w:r>
        <w:separator/>
      </w:r>
    </w:p>
  </w:endnote>
  <w:endnote w:type="continuationSeparator" w:id="0">
    <w:p w:rsidR="00F248F0" w:rsidRDefault="00F248F0" w:rsidP="0075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F0" w:rsidRDefault="00F248F0" w:rsidP="00750C8D">
      <w:r>
        <w:separator/>
      </w:r>
    </w:p>
  </w:footnote>
  <w:footnote w:type="continuationSeparator" w:id="0">
    <w:p w:rsidR="00F248F0" w:rsidRDefault="00F248F0" w:rsidP="00750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DD3"/>
    <w:rsid w:val="0012588E"/>
    <w:rsid w:val="00202701"/>
    <w:rsid w:val="00346B0E"/>
    <w:rsid w:val="003A7506"/>
    <w:rsid w:val="005D0BF6"/>
    <w:rsid w:val="005F04B5"/>
    <w:rsid w:val="00677F8C"/>
    <w:rsid w:val="00690C0E"/>
    <w:rsid w:val="00750C8D"/>
    <w:rsid w:val="007E4E9E"/>
    <w:rsid w:val="009B779A"/>
    <w:rsid w:val="00A04BD5"/>
    <w:rsid w:val="00C849D7"/>
    <w:rsid w:val="00DD0DD3"/>
    <w:rsid w:val="00F23B8B"/>
    <w:rsid w:val="00F248F0"/>
    <w:rsid w:val="00F5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D0D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DD0DD3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50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50C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50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50C8D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690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321</Words>
  <Characters>1835</Characters>
  <Application>Microsoft Office Word</Application>
  <DocSecurity>0</DocSecurity>
  <Lines>15</Lines>
  <Paragraphs>4</Paragraphs>
  <ScaleCrop>false</ScaleCrop>
  <Company>KMU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3</cp:revision>
  <dcterms:created xsi:type="dcterms:W3CDTF">2014-08-26T00:55:00Z</dcterms:created>
  <dcterms:modified xsi:type="dcterms:W3CDTF">2014-08-26T00:57:00Z</dcterms:modified>
</cp:coreProperties>
</file>