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B7419" w14:textId="59AD4414" w:rsidR="00385898" w:rsidRDefault="00F106FD" w:rsidP="009904A4">
      <w:pPr>
        <w:spacing w:line="360" w:lineRule="exact"/>
        <w:jc w:val="center"/>
        <w:rPr>
          <w:rFonts w:eastAsia="標楷體" w:hAnsi="標楷體"/>
          <w:b/>
          <w:sz w:val="36"/>
        </w:rPr>
      </w:pPr>
      <w:bookmarkStart w:id="0" w:name="_GoBack"/>
      <w:bookmarkEnd w:id="0"/>
      <w:r w:rsidRPr="00C46164">
        <w:rPr>
          <w:rFonts w:eastAsia="標楷體" w:hAnsi="標楷體" w:hint="eastAsia"/>
          <w:b/>
          <w:sz w:val="36"/>
        </w:rPr>
        <w:t>高雄醫學</w:t>
      </w:r>
      <w:r w:rsidR="00385898" w:rsidRPr="00C46164">
        <w:rPr>
          <w:rFonts w:eastAsia="標楷體" w:hAnsi="標楷體"/>
          <w:b/>
          <w:sz w:val="36"/>
        </w:rPr>
        <w:t>大學預算編審</w:t>
      </w:r>
      <w:r w:rsidR="00385898" w:rsidRPr="00C46164">
        <w:rPr>
          <w:rFonts w:eastAsia="標楷體" w:hAnsi="標楷體" w:hint="eastAsia"/>
          <w:b/>
          <w:sz w:val="36"/>
        </w:rPr>
        <w:t>要點</w:t>
      </w:r>
    </w:p>
    <w:p w14:paraId="6719A860" w14:textId="2793A479" w:rsidR="00843B00" w:rsidRPr="009904A4" w:rsidRDefault="00843B00" w:rsidP="009904A4">
      <w:pPr>
        <w:spacing w:line="360" w:lineRule="exact"/>
        <w:ind w:rightChars="-118" w:right="-283"/>
        <w:jc w:val="center"/>
        <w:rPr>
          <w:rFonts w:eastAsia="標楷體" w:hAnsi="標楷體"/>
          <w:b/>
          <w:sz w:val="31"/>
          <w:szCs w:val="31"/>
        </w:rPr>
      </w:pPr>
      <w:r w:rsidRPr="009904A4">
        <w:rPr>
          <w:rFonts w:eastAsia="標楷體" w:hAnsi="標楷體"/>
          <w:b/>
          <w:sz w:val="31"/>
          <w:szCs w:val="31"/>
        </w:rPr>
        <w:t xml:space="preserve">Kaohsiung Medical University Budget Compilation and Review </w:t>
      </w:r>
      <w:r w:rsidR="009904A4" w:rsidRPr="009904A4">
        <w:rPr>
          <w:rFonts w:eastAsia="標楷體" w:hAnsi="標楷體"/>
          <w:b/>
          <w:sz w:val="31"/>
          <w:szCs w:val="31"/>
        </w:rPr>
        <w:t>Directives</w:t>
      </w:r>
    </w:p>
    <w:p w14:paraId="0424B191" w14:textId="77777777" w:rsidR="009904A4" w:rsidRDefault="009904A4" w:rsidP="001956AB">
      <w:pPr>
        <w:tabs>
          <w:tab w:val="left" w:pos="6480"/>
        </w:tabs>
        <w:spacing w:line="0" w:lineRule="atLeast"/>
        <w:ind w:leftChars="2303" w:left="5527" w:rightChars="13" w:right="31"/>
        <w:rPr>
          <w:rFonts w:ascii="Calibri" w:eastAsia="標楷體" w:hAnsi="Calibri" w:cs="Calibri"/>
          <w:kern w:val="0"/>
          <w:sz w:val="20"/>
        </w:rPr>
      </w:pPr>
    </w:p>
    <w:p w14:paraId="3CEB741A" w14:textId="10B829B5" w:rsidR="001956AB" w:rsidRPr="009904A4" w:rsidRDefault="001956AB" w:rsidP="009904A4">
      <w:pPr>
        <w:tabs>
          <w:tab w:val="left" w:pos="6480"/>
        </w:tabs>
        <w:spacing w:line="160" w:lineRule="exact"/>
        <w:ind w:leftChars="2303" w:left="5527" w:rightChars="-59" w:right="-142"/>
        <w:jc w:val="right"/>
        <w:rPr>
          <w:rFonts w:ascii="Calibri" w:eastAsia="標楷體" w:hAnsi="Calibri" w:cs="Calibri"/>
          <w:kern w:val="0"/>
          <w:sz w:val="16"/>
          <w:szCs w:val="16"/>
        </w:rPr>
      </w:pPr>
      <w:r w:rsidRPr="009904A4">
        <w:rPr>
          <w:rFonts w:ascii="Calibri" w:eastAsia="標楷體" w:hAnsi="Calibri" w:cs="Calibri"/>
          <w:kern w:val="0"/>
          <w:sz w:val="16"/>
          <w:szCs w:val="16"/>
        </w:rPr>
        <w:t>106.</w:t>
      </w:r>
      <w:r w:rsidRPr="009904A4">
        <w:rPr>
          <w:rFonts w:ascii="Calibri" w:eastAsia="標楷體" w:hAnsi="Calibri" w:cs="Calibri"/>
          <w:sz w:val="16"/>
          <w:szCs w:val="16"/>
        </w:rPr>
        <w:t>11</w:t>
      </w:r>
      <w:r w:rsidRPr="009904A4">
        <w:rPr>
          <w:rFonts w:ascii="Calibri" w:eastAsia="標楷體" w:hAnsi="Calibri" w:cs="Calibri"/>
          <w:kern w:val="0"/>
          <w:sz w:val="16"/>
          <w:szCs w:val="16"/>
        </w:rPr>
        <w:t>.</w:t>
      </w:r>
      <w:r w:rsidRPr="009904A4">
        <w:rPr>
          <w:rFonts w:ascii="Calibri" w:eastAsia="標楷體" w:hAnsi="Calibri" w:cs="Calibri"/>
          <w:sz w:val="16"/>
          <w:szCs w:val="16"/>
        </w:rPr>
        <w:t>17</w:t>
      </w:r>
      <w:r w:rsidRPr="009904A4">
        <w:rPr>
          <w:rFonts w:ascii="Calibri" w:eastAsia="標楷體" w:hAnsi="Calibri" w:cs="Calibri"/>
          <w:sz w:val="16"/>
          <w:szCs w:val="16"/>
        </w:rPr>
        <w:tab/>
      </w:r>
      <w:r w:rsidRPr="009904A4">
        <w:rPr>
          <w:rFonts w:ascii="Calibri" w:eastAsia="標楷體" w:hAnsi="Calibri" w:cs="Calibri"/>
          <w:kern w:val="0"/>
          <w:sz w:val="16"/>
          <w:szCs w:val="16"/>
        </w:rPr>
        <w:t>106</w:t>
      </w:r>
      <w:r w:rsidRPr="009904A4">
        <w:rPr>
          <w:rFonts w:ascii="Calibri" w:eastAsia="標楷體" w:hAnsi="Calibri" w:cs="Calibri"/>
          <w:kern w:val="0"/>
          <w:sz w:val="16"/>
          <w:szCs w:val="16"/>
        </w:rPr>
        <w:t>學年度第</w:t>
      </w:r>
      <w:r w:rsidRPr="009904A4">
        <w:rPr>
          <w:rFonts w:ascii="Calibri" w:eastAsia="標楷體" w:hAnsi="Calibri" w:cs="Calibri"/>
          <w:sz w:val="16"/>
          <w:szCs w:val="16"/>
        </w:rPr>
        <w:t>3</w:t>
      </w:r>
      <w:r w:rsidRPr="009904A4">
        <w:rPr>
          <w:rFonts w:ascii="Calibri" w:eastAsia="標楷體" w:hAnsi="Calibri" w:cs="Calibri"/>
          <w:kern w:val="0"/>
          <w:sz w:val="16"/>
          <w:szCs w:val="16"/>
        </w:rPr>
        <w:t>次</w:t>
      </w:r>
      <w:r w:rsidRPr="009904A4">
        <w:rPr>
          <w:rFonts w:ascii="Calibri" w:eastAsia="標楷體" w:hAnsi="Calibri" w:cs="Calibri"/>
          <w:sz w:val="16"/>
          <w:szCs w:val="16"/>
        </w:rPr>
        <w:t>校務會議</w:t>
      </w:r>
      <w:r w:rsidRPr="009904A4">
        <w:rPr>
          <w:rFonts w:ascii="Calibri" w:eastAsia="標楷體" w:hAnsi="Calibri" w:cs="Calibri"/>
          <w:kern w:val="0"/>
          <w:sz w:val="16"/>
          <w:szCs w:val="16"/>
        </w:rPr>
        <w:t>通過</w:t>
      </w:r>
    </w:p>
    <w:p w14:paraId="0230A0EF" w14:textId="4CDF343A" w:rsidR="00B142C3" w:rsidRPr="009904A4" w:rsidRDefault="00B142C3" w:rsidP="009904A4">
      <w:pPr>
        <w:tabs>
          <w:tab w:val="left" w:pos="6480"/>
        </w:tabs>
        <w:spacing w:line="160" w:lineRule="exact"/>
        <w:ind w:rightChars="-59" w:right="-142"/>
        <w:jc w:val="right"/>
        <w:rPr>
          <w:rFonts w:ascii="Calibri" w:eastAsia="標楷體" w:hAnsi="Calibri" w:cs="Calibri"/>
          <w:kern w:val="0"/>
          <w:sz w:val="16"/>
          <w:szCs w:val="16"/>
        </w:rPr>
      </w:pPr>
      <w:r w:rsidRPr="009904A4">
        <w:rPr>
          <w:rFonts w:ascii="Calibri" w:eastAsia="標楷體" w:hAnsi="Calibri" w:cs="Calibri"/>
          <w:kern w:val="0"/>
          <w:sz w:val="16"/>
          <w:szCs w:val="16"/>
        </w:rPr>
        <w:t>2017.</w:t>
      </w:r>
      <w:r w:rsidRPr="009904A4">
        <w:rPr>
          <w:rFonts w:ascii="Calibri" w:eastAsia="標楷體" w:hAnsi="Calibri" w:cs="Calibri"/>
          <w:sz w:val="16"/>
          <w:szCs w:val="16"/>
        </w:rPr>
        <w:t>11</w:t>
      </w:r>
      <w:r w:rsidRPr="009904A4">
        <w:rPr>
          <w:rFonts w:ascii="Calibri" w:eastAsia="標楷體" w:hAnsi="Calibri" w:cs="Calibri"/>
          <w:kern w:val="0"/>
          <w:sz w:val="16"/>
          <w:szCs w:val="16"/>
        </w:rPr>
        <w:t>.</w:t>
      </w:r>
      <w:r w:rsidRPr="009904A4">
        <w:rPr>
          <w:rFonts w:ascii="Calibri" w:eastAsia="標楷體" w:hAnsi="Calibri" w:cs="Calibri"/>
          <w:sz w:val="16"/>
          <w:szCs w:val="16"/>
        </w:rPr>
        <w:t xml:space="preserve">17 </w:t>
      </w:r>
      <w:r w:rsidRPr="009904A4">
        <w:rPr>
          <w:rFonts w:ascii="Calibri" w:eastAsia="標楷體" w:hAnsi="Calibri" w:cs="Calibri"/>
          <w:kern w:val="0"/>
          <w:sz w:val="16"/>
          <w:szCs w:val="16"/>
        </w:rPr>
        <w:t>Passed by the 3</w:t>
      </w:r>
      <w:r w:rsidRPr="009904A4">
        <w:rPr>
          <w:rFonts w:eastAsia="標楷體"/>
          <w:color w:val="000000" w:themeColor="text1"/>
          <w:kern w:val="0"/>
          <w:sz w:val="16"/>
          <w:szCs w:val="16"/>
          <w:vertAlign w:val="superscript"/>
        </w:rPr>
        <w:t xml:space="preserve">rd </w:t>
      </w:r>
      <w:r w:rsidRPr="009904A4">
        <w:rPr>
          <w:rFonts w:ascii="Calibri" w:eastAsia="標楷體" w:hAnsi="Calibri" w:cs="Calibri"/>
          <w:kern w:val="0"/>
          <w:sz w:val="16"/>
          <w:szCs w:val="16"/>
        </w:rPr>
        <w:t>University Affairs Meeting</w:t>
      </w:r>
      <w:r w:rsidRPr="009904A4">
        <w:rPr>
          <w:sz w:val="16"/>
          <w:szCs w:val="16"/>
        </w:rPr>
        <w:t xml:space="preserve"> </w:t>
      </w:r>
      <w:r w:rsidRPr="009904A4">
        <w:rPr>
          <w:rFonts w:ascii="Calibri" w:eastAsia="標楷體" w:hAnsi="Calibri" w:cs="Calibri"/>
          <w:kern w:val="0"/>
          <w:sz w:val="16"/>
          <w:szCs w:val="16"/>
        </w:rPr>
        <w:t>of the 110</w:t>
      </w:r>
      <w:r w:rsidRPr="009904A4">
        <w:rPr>
          <w:rFonts w:eastAsia="標楷體"/>
          <w:color w:val="000000" w:themeColor="text1"/>
          <w:kern w:val="0"/>
          <w:sz w:val="16"/>
          <w:szCs w:val="16"/>
          <w:vertAlign w:val="superscript"/>
        </w:rPr>
        <w:t>th</w:t>
      </w:r>
      <w:r w:rsidRPr="009904A4">
        <w:rPr>
          <w:rFonts w:ascii="Calibri" w:eastAsia="標楷體" w:hAnsi="Calibri" w:cs="Calibri"/>
          <w:kern w:val="0"/>
          <w:sz w:val="16"/>
          <w:szCs w:val="16"/>
        </w:rPr>
        <w:t xml:space="preserve"> academic year</w:t>
      </w:r>
    </w:p>
    <w:p w14:paraId="3CEB741B" w14:textId="77777777" w:rsidR="001956AB" w:rsidRPr="00C46164" w:rsidRDefault="001956AB" w:rsidP="001956AB">
      <w:pPr>
        <w:tabs>
          <w:tab w:val="left" w:pos="6480"/>
        </w:tabs>
        <w:spacing w:line="0" w:lineRule="atLeast"/>
        <w:ind w:leftChars="2303" w:left="5527" w:rightChars="13" w:right="31"/>
        <w:rPr>
          <w:rFonts w:ascii="Calibri" w:eastAsia="標楷體" w:hAnsi="Calibri" w:cs="Calibri"/>
          <w:kern w:val="0"/>
          <w:sz w:val="20"/>
        </w:rPr>
      </w:pPr>
    </w:p>
    <w:p w14:paraId="3CEB741C" w14:textId="1CA95CEF" w:rsidR="00385898" w:rsidRDefault="001C4EEE"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lang w:eastAsia="zh-HK"/>
        </w:rPr>
        <w:t>本校</w:t>
      </w:r>
      <w:r w:rsidR="00385898" w:rsidRPr="00C46164">
        <w:rPr>
          <w:rFonts w:asciiTheme="minorHAnsi" w:eastAsia="標楷體" w:hAnsiTheme="minorHAnsi" w:cstheme="minorHAnsi"/>
        </w:rPr>
        <w:t>之預算編審，除法令另有規定外，悉依本要點辦理。</w:t>
      </w:r>
    </w:p>
    <w:p w14:paraId="285EEF41" w14:textId="25C5CD79" w:rsidR="00A360BA" w:rsidRPr="009904A4" w:rsidRDefault="0057397F" w:rsidP="009904A4">
      <w:pPr>
        <w:pStyle w:val="a7"/>
        <w:numPr>
          <w:ilvl w:val="0"/>
          <w:numId w:val="5"/>
        </w:numPr>
        <w:spacing w:afterLines="20" w:after="72"/>
        <w:ind w:leftChars="0"/>
        <w:rPr>
          <w:rFonts w:asciiTheme="minorHAnsi" w:eastAsia="標楷體" w:hAnsiTheme="minorHAnsi" w:cstheme="minorHAnsi"/>
        </w:rPr>
      </w:pPr>
      <w:r w:rsidRPr="009904A4">
        <w:rPr>
          <w:rFonts w:asciiTheme="minorHAnsi" w:eastAsia="標楷體" w:hAnsiTheme="minorHAnsi" w:cstheme="minorHAnsi"/>
        </w:rPr>
        <w:t>The budget compilation and review of th</w:t>
      </w:r>
      <w:r w:rsidR="009904A4" w:rsidRPr="009904A4">
        <w:rPr>
          <w:rFonts w:asciiTheme="minorHAnsi" w:eastAsia="標楷體" w:hAnsiTheme="minorHAnsi" w:cstheme="minorHAnsi"/>
        </w:rPr>
        <w:t>e school</w:t>
      </w:r>
      <w:r w:rsidRPr="009904A4">
        <w:rPr>
          <w:rFonts w:asciiTheme="minorHAnsi" w:eastAsia="標楷體" w:hAnsiTheme="minorHAnsi" w:cstheme="minorHAnsi"/>
        </w:rPr>
        <w:t xml:space="preserve"> shall be conducted in accordance with </w:t>
      </w:r>
      <w:r w:rsidRPr="009904A4">
        <w:rPr>
          <w:rFonts w:asciiTheme="minorHAnsi" w:eastAsia="標楷體" w:hAnsiTheme="minorHAnsi" w:cstheme="minorHAnsi"/>
        </w:rPr>
        <w:tab/>
        <w:t xml:space="preserve">the </w:t>
      </w:r>
      <w:r w:rsidR="009904A4">
        <w:t>Directives</w:t>
      </w:r>
      <w:r w:rsidRPr="009904A4">
        <w:rPr>
          <w:rFonts w:asciiTheme="minorHAnsi" w:eastAsia="標楷體" w:hAnsiTheme="minorHAnsi" w:cstheme="minorHAnsi"/>
        </w:rPr>
        <w:t>, unless otherwise stipulated by laws and regulations.</w:t>
      </w:r>
    </w:p>
    <w:p w14:paraId="3CEB741D" w14:textId="1E979E9D" w:rsidR="00385898" w:rsidRDefault="0038589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本校</w:t>
      </w:r>
      <w:r w:rsidR="00F106FD" w:rsidRPr="00C46164">
        <w:rPr>
          <w:rFonts w:asciiTheme="minorHAnsi" w:eastAsia="標楷體" w:hAnsiTheme="minorHAnsi" w:cstheme="minorHAnsi"/>
        </w:rPr>
        <w:t>年度</w:t>
      </w:r>
      <w:r w:rsidRPr="00C46164">
        <w:rPr>
          <w:rFonts w:asciiTheme="minorHAnsi" w:eastAsia="標楷體" w:hAnsiTheme="minorHAnsi" w:cstheme="minorHAnsi"/>
        </w:rPr>
        <w:t>預算每一會計年度辦理一次，一切收入及支出均應編入預算。</w:t>
      </w:r>
    </w:p>
    <w:p w14:paraId="39ACA8C1" w14:textId="52786689" w:rsidR="00A360BA" w:rsidRPr="009904A4" w:rsidRDefault="009904A4" w:rsidP="009904A4">
      <w:pPr>
        <w:pStyle w:val="a7"/>
        <w:numPr>
          <w:ilvl w:val="0"/>
          <w:numId w:val="5"/>
        </w:numPr>
        <w:spacing w:afterLines="20" w:after="72"/>
        <w:ind w:leftChars="0"/>
        <w:rPr>
          <w:rFonts w:asciiTheme="minorHAnsi" w:eastAsia="標楷體" w:hAnsiTheme="minorHAnsi" w:cstheme="minorHAnsi"/>
        </w:rPr>
      </w:pPr>
      <w:r>
        <w:rPr>
          <w:rFonts w:asciiTheme="minorHAnsi" w:eastAsia="標楷體" w:hAnsiTheme="minorHAnsi" w:cstheme="minorHAnsi"/>
        </w:rPr>
        <w:t>The school</w:t>
      </w:r>
      <w:r w:rsidR="007C1D47" w:rsidRPr="009904A4">
        <w:rPr>
          <w:rFonts w:asciiTheme="minorHAnsi" w:eastAsia="標楷體" w:hAnsiTheme="minorHAnsi" w:cstheme="minorHAnsi"/>
        </w:rPr>
        <w:t>'s annual budget shall be prepared once for each fiscal year, and all revenues and expenditures must be included in the budget</w:t>
      </w:r>
    </w:p>
    <w:p w14:paraId="3CEB741E" w14:textId="000781FF" w:rsidR="00385898" w:rsidRDefault="0038589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本校之會計年度與學年度一致，於每年八月一日開始，至次年七月三十一日終了，以年度開始日之中華民國紀元年次為其年度名稱。</w:t>
      </w:r>
    </w:p>
    <w:p w14:paraId="3B12B608" w14:textId="0E2F07AD" w:rsidR="00A360BA" w:rsidRPr="009904A4" w:rsidRDefault="009904A4" w:rsidP="009904A4">
      <w:pPr>
        <w:pStyle w:val="a7"/>
        <w:numPr>
          <w:ilvl w:val="0"/>
          <w:numId w:val="5"/>
        </w:numPr>
        <w:spacing w:afterLines="20" w:after="72"/>
        <w:ind w:leftChars="0"/>
        <w:rPr>
          <w:rFonts w:asciiTheme="minorHAnsi" w:eastAsia="標楷體" w:hAnsiTheme="minorHAnsi" w:cstheme="minorHAnsi"/>
        </w:rPr>
      </w:pPr>
      <w:r>
        <w:rPr>
          <w:rFonts w:asciiTheme="minorHAnsi" w:eastAsia="標楷體" w:hAnsiTheme="minorHAnsi" w:cstheme="minorHAnsi"/>
        </w:rPr>
        <w:t>T</w:t>
      </w:r>
      <w:r w:rsidRPr="009904A4">
        <w:rPr>
          <w:rFonts w:asciiTheme="minorHAnsi" w:eastAsia="標楷體" w:hAnsiTheme="minorHAnsi" w:cstheme="minorHAnsi"/>
        </w:rPr>
        <w:t>he school</w:t>
      </w:r>
      <w:r w:rsidR="008C0E0B" w:rsidRPr="009904A4">
        <w:rPr>
          <w:rFonts w:asciiTheme="minorHAnsi" w:eastAsia="標楷體" w:hAnsiTheme="minorHAnsi" w:cstheme="minorHAnsi"/>
        </w:rPr>
        <w:t xml:space="preserve">'s fiscal year aligns with the academic year, commencing on August 1 each year and concluding on July 31 of the following year. The fiscal year shall be named </w:t>
      </w:r>
      <w:r w:rsidR="00A6349F" w:rsidRPr="009904A4">
        <w:rPr>
          <w:rFonts w:asciiTheme="minorHAnsi" w:eastAsia="標楷體" w:hAnsiTheme="minorHAnsi" w:cstheme="minorHAnsi"/>
        </w:rPr>
        <w:tab/>
      </w:r>
      <w:r w:rsidR="008C0E0B" w:rsidRPr="009904A4">
        <w:rPr>
          <w:rFonts w:asciiTheme="minorHAnsi" w:eastAsia="標楷體" w:hAnsiTheme="minorHAnsi" w:cstheme="minorHAnsi"/>
        </w:rPr>
        <w:t>according to the calendar year of the Republic of China in which it begins.</w:t>
      </w:r>
    </w:p>
    <w:p w14:paraId="3CEB741F" w14:textId="34EBD7CD" w:rsidR="00385898" w:rsidRDefault="0038589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本校年度收支預算，依「學校財團法人及所設私立學校會計制度之一致規定」所訂之表式及收支預算科目編製。</w:t>
      </w:r>
    </w:p>
    <w:p w14:paraId="56C2A4B2" w14:textId="0A433BD4" w:rsidR="00A360BA" w:rsidRPr="009904A4" w:rsidRDefault="009904A4" w:rsidP="009904A4">
      <w:pPr>
        <w:pStyle w:val="a7"/>
        <w:numPr>
          <w:ilvl w:val="0"/>
          <w:numId w:val="5"/>
        </w:numPr>
        <w:spacing w:afterLines="20" w:after="72"/>
        <w:ind w:leftChars="0"/>
        <w:rPr>
          <w:rFonts w:asciiTheme="minorHAnsi" w:eastAsia="標楷體" w:hAnsiTheme="minorHAnsi" w:cstheme="minorHAnsi"/>
        </w:rPr>
      </w:pPr>
      <w:r>
        <w:rPr>
          <w:rFonts w:asciiTheme="minorHAnsi" w:eastAsia="標楷體" w:hAnsiTheme="minorHAnsi" w:cstheme="minorHAnsi"/>
        </w:rPr>
        <w:t>T</w:t>
      </w:r>
      <w:r w:rsidRPr="009904A4">
        <w:rPr>
          <w:rFonts w:asciiTheme="minorHAnsi" w:eastAsia="標楷體" w:hAnsiTheme="minorHAnsi" w:cstheme="minorHAnsi"/>
        </w:rPr>
        <w:t>he school</w:t>
      </w:r>
      <w:r w:rsidR="00A6349F" w:rsidRPr="009904A4">
        <w:rPr>
          <w:rFonts w:asciiTheme="minorHAnsi" w:eastAsia="標楷體" w:hAnsiTheme="minorHAnsi" w:cstheme="minorHAnsi"/>
        </w:rPr>
        <w:t xml:space="preserve">'s annual revenue and expenditure budget shall be prepared in accordance with </w:t>
      </w:r>
      <w:r w:rsidR="000444CE" w:rsidRPr="009904A4">
        <w:rPr>
          <w:rFonts w:asciiTheme="minorHAnsi" w:eastAsia="標楷體" w:hAnsiTheme="minorHAnsi" w:cstheme="minorHAnsi"/>
        </w:rPr>
        <w:tab/>
      </w:r>
      <w:r w:rsidR="00A6349F" w:rsidRPr="009904A4">
        <w:rPr>
          <w:rFonts w:asciiTheme="minorHAnsi" w:eastAsia="標楷體" w:hAnsiTheme="minorHAnsi" w:cstheme="minorHAnsi"/>
        </w:rPr>
        <w:t xml:space="preserve">the formats and budgetary categories stipulated by the "Uniform Regulations for the </w:t>
      </w:r>
      <w:r w:rsidR="000444CE" w:rsidRPr="009904A4">
        <w:rPr>
          <w:rFonts w:asciiTheme="minorHAnsi" w:eastAsia="標楷體" w:hAnsiTheme="minorHAnsi" w:cstheme="minorHAnsi"/>
        </w:rPr>
        <w:tab/>
      </w:r>
      <w:r w:rsidR="00A6349F" w:rsidRPr="009904A4">
        <w:rPr>
          <w:rFonts w:asciiTheme="minorHAnsi" w:eastAsia="標楷體" w:hAnsiTheme="minorHAnsi" w:cstheme="minorHAnsi"/>
        </w:rPr>
        <w:t>Accounting System of School Foundations and Private Schools Established Thereof."</w:t>
      </w:r>
    </w:p>
    <w:p w14:paraId="3CEB7420" w14:textId="4B5966D0" w:rsidR="00385898" w:rsidRDefault="00F106FD"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預算編列</w:t>
      </w:r>
      <w:r w:rsidR="00385898" w:rsidRPr="00C46164">
        <w:rPr>
          <w:rFonts w:asciiTheme="minorHAnsi" w:eastAsia="標楷體" w:hAnsiTheme="minorHAnsi" w:cstheme="minorHAnsi"/>
        </w:rPr>
        <w:t>應以本校中長程校務發展計畫為依據</w:t>
      </w:r>
      <w:r w:rsidRPr="00C46164">
        <w:rPr>
          <w:rFonts w:asciiTheme="minorHAnsi" w:eastAsia="標楷體" w:hAnsiTheme="minorHAnsi" w:cstheme="minorHAnsi"/>
        </w:rPr>
        <w:t>，各單位應依年度工作計畫</w:t>
      </w:r>
      <w:r w:rsidR="00C037C8" w:rsidRPr="00C46164">
        <w:rPr>
          <w:rFonts w:asciiTheme="minorHAnsi" w:eastAsia="標楷體" w:hAnsiTheme="minorHAnsi" w:cstheme="minorHAnsi"/>
        </w:rPr>
        <w:t>、</w:t>
      </w:r>
      <w:r w:rsidRPr="00C46164">
        <w:rPr>
          <w:rFonts w:asciiTheme="minorHAnsi" w:eastAsia="標楷體" w:hAnsiTheme="minorHAnsi" w:cstheme="minorHAnsi"/>
        </w:rPr>
        <w:t>業務推動或法令規定等所需經費編列預算，</w:t>
      </w:r>
      <w:r w:rsidR="00385898" w:rsidRPr="00C46164">
        <w:rPr>
          <w:rFonts w:asciiTheme="minorHAnsi" w:eastAsia="標楷體" w:hAnsiTheme="minorHAnsi" w:cstheme="minorHAnsi"/>
        </w:rPr>
        <w:t>凡重要且必須執行之計畫或工作</w:t>
      </w:r>
      <w:r w:rsidRPr="00C46164">
        <w:rPr>
          <w:rFonts w:asciiTheme="minorHAnsi" w:eastAsia="標楷體" w:hAnsiTheme="minorHAnsi" w:cstheme="minorHAnsi"/>
        </w:rPr>
        <w:t>應優先納入</w:t>
      </w:r>
      <w:r w:rsidR="00385898" w:rsidRPr="00C46164">
        <w:rPr>
          <w:rFonts w:asciiTheme="minorHAnsi" w:eastAsia="標楷體" w:hAnsiTheme="minorHAnsi" w:cstheme="minorHAnsi"/>
        </w:rPr>
        <w:t>編列預算，</w:t>
      </w:r>
      <w:r w:rsidRPr="00C46164">
        <w:rPr>
          <w:rFonts w:asciiTheme="minorHAnsi" w:eastAsia="標楷體" w:hAnsiTheme="minorHAnsi" w:cstheme="minorHAnsi"/>
        </w:rPr>
        <w:t>以免</w:t>
      </w:r>
      <w:r w:rsidR="00385898" w:rsidRPr="00C46164">
        <w:rPr>
          <w:rFonts w:asciiTheme="minorHAnsi" w:eastAsia="標楷體" w:hAnsiTheme="minorHAnsi" w:cstheme="minorHAnsi"/>
        </w:rPr>
        <w:t>因漏列或排序過低，致</w:t>
      </w:r>
      <w:r w:rsidRPr="00C46164">
        <w:rPr>
          <w:rFonts w:asciiTheme="minorHAnsi" w:eastAsia="標楷體" w:hAnsiTheme="minorHAnsi" w:cstheme="minorHAnsi"/>
        </w:rPr>
        <w:t>無法列入預算執行計畫</w:t>
      </w:r>
      <w:r w:rsidR="00385898" w:rsidRPr="00C46164">
        <w:rPr>
          <w:rFonts w:asciiTheme="minorHAnsi" w:eastAsia="標楷體" w:hAnsiTheme="minorHAnsi" w:cstheme="minorHAnsi"/>
        </w:rPr>
        <w:t>。</w:t>
      </w:r>
      <w:r w:rsidRPr="00C46164">
        <w:rPr>
          <w:rFonts w:asciiTheme="minorHAnsi" w:eastAsia="標楷體" w:hAnsiTheme="minorHAnsi" w:cstheme="minorHAnsi"/>
        </w:rPr>
        <w:t>各單位未編列預算或編列之預算使用完畢者不得動支經費或追加預算，請各單位於預算額度內調配勻支。</w:t>
      </w:r>
    </w:p>
    <w:p w14:paraId="3FCA08FD" w14:textId="2A811C40" w:rsidR="00A360BA" w:rsidRPr="009904A4" w:rsidRDefault="000444CE" w:rsidP="009904A4">
      <w:pPr>
        <w:pStyle w:val="a7"/>
        <w:numPr>
          <w:ilvl w:val="0"/>
          <w:numId w:val="5"/>
        </w:numPr>
        <w:spacing w:afterLines="20" w:after="72"/>
        <w:ind w:leftChars="0"/>
        <w:rPr>
          <w:rFonts w:asciiTheme="minorHAnsi" w:eastAsia="標楷體" w:hAnsiTheme="minorHAnsi" w:cstheme="minorHAnsi"/>
        </w:rPr>
      </w:pPr>
      <w:r w:rsidRPr="009904A4">
        <w:rPr>
          <w:rFonts w:asciiTheme="minorHAnsi" w:eastAsia="標楷體" w:hAnsiTheme="minorHAnsi" w:cstheme="minorHAnsi"/>
        </w:rPr>
        <w:t xml:space="preserve">Budget compilation should be based on </w:t>
      </w:r>
      <w:r w:rsidR="009904A4">
        <w:rPr>
          <w:rFonts w:asciiTheme="minorHAnsi" w:eastAsia="標楷體" w:hAnsiTheme="minorHAnsi" w:cstheme="minorHAnsi"/>
        </w:rPr>
        <w:t>the school’s</w:t>
      </w:r>
      <w:r w:rsidRPr="009904A4">
        <w:rPr>
          <w:rFonts w:asciiTheme="minorHAnsi" w:eastAsia="標楷體" w:hAnsiTheme="minorHAnsi" w:cstheme="minorHAnsi"/>
        </w:rPr>
        <w:t xml:space="preserve"> medium-to-long-term development </w:t>
      </w:r>
      <w:r w:rsidRPr="009904A4">
        <w:rPr>
          <w:rFonts w:asciiTheme="minorHAnsi" w:eastAsia="標楷體" w:hAnsiTheme="minorHAnsi" w:cstheme="minorHAnsi"/>
        </w:rPr>
        <w:tab/>
        <w:t xml:space="preserve">plans. Each unit should allocate funds in their budget according to their annual work plans, </w:t>
      </w:r>
      <w:r w:rsidRPr="009904A4">
        <w:rPr>
          <w:rFonts w:asciiTheme="minorHAnsi" w:eastAsia="標楷體" w:hAnsiTheme="minorHAnsi" w:cstheme="minorHAnsi"/>
        </w:rPr>
        <w:tab/>
        <w:t xml:space="preserve">operational initiatives, or legal requirements. Important and essential projects or tasks should </w:t>
      </w:r>
      <w:r w:rsidRPr="009904A4">
        <w:rPr>
          <w:rFonts w:asciiTheme="minorHAnsi" w:eastAsia="標楷體" w:hAnsiTheme="minorHAnsi" w:cstheme="minorHAnsi"/>
        </w:rPr>
        <w:tab/>
        <w:t xml:space="preserve">be prioritized in the budget allocation to avoid omission or insufficient ranking that may result </w:t>
      </w:r>
      <w:r w:rsidRPr="009904A4">
        <w:rPr>
          <w:rFonts w:asciiTheme="minorHAnsi" w:eastAsia="標楷體" w:hAnsiTheme="minorHAnsi" w:cstheme="minorHAnsi"/>
        </w:rPr>
        <w:tab/>
        <w:t xml:space="preserve">in exclusion from the budgetary execution plan. Units that have not allocated a budget or </w:t>
      </w:r>
      <w:r w:rsidRPr="009904A4">
        <w:rPr>
          <w:rFonts w:asciiTheme="minorHAnsi" w:eastAsia="標楷體" w:hAnsiTheme="minorHAnsi" w:cstheme="minorHAnsi"/>
        </w:rPr>
        <w:tab/>
        <w:t xml:space="preserve">have exhausted their allocated funds may not incur expenses or add to the budget. Units are </w:t>
      </w:r>
      <w:r w:rsidRPr="009904A4">
        <w:rPr>
          <w:rFonts w:asciiTheme="minorHAnsi" w:eastAsia="標楷體" w:hAnsiTheme="minorHAnsi" w:cstheme="minorHAnsi"/>
        </w:rPr>
        <w:tab/>
        <w:t>advised to evenly distribute expenditures within their budgetary limits.</w:t>
      </w:r>
    </w:p>
    <w:p w14:paraId="3CEB7421" w14:textId="77777777" w:rsidR="00385898" w:rsidRDefault="0038589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本校預算</w:t>
      </w:r>
      <w:r w:rsidR="00C037C8" w:rsidRPr="00C46164">
        <w:rPr>
          <w:rFonts w:asciiTheme="minorHAnsi" w:eastAsia="標楷體" w:hAnsiTheme="minorHAnsi" w:cstheme="minorHAnsi"/>
        </w:rPr>
        <w:t>編列</w:t>
      </w:r>
      <w:r w:rsidRPr="00C46164">
        <w:rPr>
          <w:rFonts w:asciiTheme="minorHAnsi" w:eastAsia="標楷體" w:hAnsiTheme="minorHAnsi" w:cstheme="minorHAnsi"/>
        </w:rPr>
        <w:t>分為基本預算</w:t>
      </w:r>
      <w:r w:rsidR="00F106FD" w:rsidRPr="00C46164">
        <w:rPr>
          <w:rFonts w:asciiTheme="minorHAnsi" w:eastAsia="標楷體" w:hAnsiTheme="minorHAnsi" w:cstheme="minorHAnsi"/>
        </w:rPr>
        <w:t>、特殊預算及統籌預算三</w:t>
      </w:r>
      <w:r w:rsidRPr="00C46164">
        <w:rPr>
          <w:rFonts w:asciiTheme="minorHAnsi" w:eastAsia="標楷體" w:hAnsiTheme="minorHAnsi" w:cstheme="minorHAnsi"/>
        </w:rPr>
        <w:t>大類：</w:t>
      </w:r>
    </w:p>
    <w:p w14:paraId="5CF655C5" w14:textId="713318B5" w:rsidR="009904A4" w:rsidRPr="009904A4" w:rsidRDefault="009904A4" w:rsidP="009904A4">
      <w:pPr>
        <w:pStyle w:val="a7"/>
        <w:numPr>
          <w:ilvl w:val="0"/>
          <w:numId w:val="5"/>
        </w:numPr>
        <w:spacing w:afterLines="20" w:after="72"/>
        <w:ind w:leftChars="0"/>
        <w:rPr>
          <w:rFonts w:asciiTheme="minorHAnsi" w:eastAsia="標楷體" w:hAnsiTheme="minorHAnsi" w:cstheme="minorHAnsi"/>
        </w:rPr>
      </w:pPr>
      <w:r>
        <w:rPr>
          <w:rFonts w:asciiTheme="minorHAnsi" w:eastAsia="標楷體" w:hAnsiTheme="minorHAnsi" w:cstheme="minorHAnsi"/>
        </w:rPr>
        <w:t>The school</w:t>
      </w:r>
      <w:r w:rsidRPr="00AB1697">
        <w:rPr>
          <w:rFonts w:asciiTheme="minorHAnsi" w:eastAsia="標楷體" w:hAnsiTheme="minorHAnsi" w:cstheme="minorHAnsi"/>
        </w:rPr>
        <w:t>'s budget allocation is divided into three major categories</w:t>
      </w:r>
      <w:r>
        <w:rPr>
          <w:rFonts w:asciiTheme="minorHAnsi" w:eastAsia="標楷體" w:hAnsiTheme="minorHAnsi" w:cstheme="minorHAnsi"/>
        </w:rPr>
        <w:t xml:space="preserve">, namely, </w:t>
      </w:r>
      <w:r w:rsidRPr="00AB1697">
        <w:rPr>
          <w:rFonts w:asciiTheme="minorHAnsi" w:eastAsia="標楷體" w:hAnsiTheme="minorHAnsi" w:cstheme="minorHAnsi"/>
        </w:rPr>
        <w:t>Basic Budget</w:t>
      </w:r>
      <w:r>
        <w:rPr>
          <w:rFonts w:asciiTheme="minorHAnsi" w:eastAsia="標楷體" w:hAnsiTheme="minorHAnsi" w:cstheme="minorHAnsi"/>
        </w:rPr>
        <w:t xml:space="preserve">, </w:t>
      </w:r>
      <w:r w:rsidRPr="00AB1697">
        <w:rPr>
          <w:rFonts w:asciiTheme="minorHAnsi" w:eastAsia="標楷體" w:hAnsiTheme="minorHAnsi" w:cstheme="minorHAnsi"/>
        </w:rPr>
        <w:t>Special Budget</w:t>
      </w:r>
      <w:r>
        <w:rPr>
          <w:rFonts w:asciiTheme="minorHAnsi" w:eastAsia="標楷體" w:hAnsiTheme="minorHAnsi" w:cstheme="minorHAnsi"/>
        </w:rPr>
        <w:t xml:space="preserve">, and </w:t>
      </w:r>
      <w:r w:rsidRPr="00AB1697">
        <w:rPr>
          <w:rFonts w:asciiTheme="minorHAnsi" w:eastAsia="標楷體" w:hAnsiTheme="minorHAnsi" w:cstheme="minorHAnsi"/>
        </w:rPr>
        <w:t>Consolidated Budget:</w:t>
      </w:r>
    </w:p>
    <w:p w14:paraId="3CEB7422" w14:textId="77777777" w:rsidR="00385898" w:rsidRDefault="00385898" w:rsidP="001956AB">
      <w:pPr>
        <w:pStyle w:val="a7"/>
        <w:numPr>
          <w:ilvl w:val="0"/>
          <w:numId w:val="4"/>
        </w:numPr>
        <w:ind w:leftChars="0" w:left="1276" w:hanging="502"/>
        <w:rPr>
          <w:rFonts w:asciiTheme="minorHAnsi" w:eastAsia="標楷體" w:hAnsiTheme="minorHAnsi" w:cstheme="minorHAnsi"/>
        </w:rPr>
      </w:pPr>
      <w:r w:rsidRPr="00C46164">
        <w:rPr>
          <w:rFonts w:asciiTheme="minorHAnsi" w:eastAsia="標楷體" w:hAnsiTheme="minorHAnsi" w:cstheme="minorHAnsi"/>
        </w:rPr>
        <w:t>基本預算：為維持各單位例行性</w:t>
      </w:r>
      <w:r w:rsidR="00C037C8" w:rsidRPr="00C46164">
        <w:rPr>
          <w:rFonts w:asciiTheme="minorHAnsi" w:eastAsia="標楷體" w:hAnsiTheme="minorHAnsi" w:cstheme="minorHAnsi"/>
        </w:rPr>
        <w:t>業務</w:t>
      </w:r>
      <w:r w:rsidRPr="00C46164">
        <w:rPr>
          <w:rFonts w:asciiTheme="minorHAnsi" w:eastAsia="標楷體" w:hAnsiTheme="minorHAnsi" w:cstheme="minorHAnsi"/>
        </w:rPr>
        <w:t>所需之預算。教學單位依</w:t>
      </w:r>
      <w:r w:rsidR="00C037C8" w:rsidRPr="00C46164">
        <w:rPr>
          <w:rFonts w:asciiTheme="minorHAnsi" w:eastAsia="標楷體" w:hAnsiTheme="minorHAnsi" w:cstheme="minorHAnsi"/>
        </w:rPr>
        <w:t>上學年度決算</w:t>
      </w:r>
      <w:r w:rsidR="00F106FD" w:rsidRPr="00C46164">
        <w:rPr>
          <w:rFonts w:asciiTheme="minorHAnsi" w:eastAsia="標楷體" w:hAnsiTheme="minorHAnsi" w:cstheme="minorHAnsi"/>
        </w:rPr>
        <w:t>數</w:t>
      </w:r>
      <w:r w:rsidR="001956AB" w:rsidRPr="00C46164">
        <w:rPr>
          <w:rFonts w:asciiTheme="minorHAnsi" w:eastAsia="標楷體" w:hAnsiTheme="minorHAnsi" w:cstheme="minorHAnsi" w:hint="eastAsia"/>
        </w:rPr>
        <w:t>為參考</w:t>
      </w:r>
      <w:r w:rsidR="00F106FD" w:rsidRPr="00C46164">
        <w:rPr>
          <w:rFonts w:asciiTheme="minorHAnsi" w:eastAsia="標楷體" w:hAnsiTheme="minorHAnsi" w:cstheme="minorHAnsi"/>
        </w:rPr>
        <w:t>及</w:t>
      </w:r>
      <w:r w:rsidR="00C037C8" w:rsidRPr="00C46164">
        <w:rPr>
          <w:rFonts w:asciiTheme="minorHAnsi" w:eastAsia="標楷體" w:hAnsiTheme="minorHAnsi" w:cstheme="minorHAnsi"/>
        </w:rPr>
        <w:t>「本校教學單位</w:t>
      </w:r>
      <w:r w:rsidR="00F106FD" w:rsidRPr="00C46164">
        <w:rPr>
          <w:rFonts w:asciiTheme="minorHAnsi" w:eastAsia="標楷體" w:hAnsiTheme="minorHAnsi" w:cstheme="minorHAnsi"/>
        </w:rPr>
        <w:t>教學儀器設備費分配原則</w:t>
      </w:r>
      <w:r w:rsidR="00C037C8" w:rsidRPr="00C46164">
        <w:rPr>
          <w:rFonts w:asciiTheme="minorHAnsi" w:eastAsia="標楷體" w:hAnsiTheme="minorHAnsi" w:cstheme="minorHAnsi"/>
        </w:rPr>
        <w:t>」</w:t>
      </w:r>
      <w:r w:rsidR="00F106FD" w:rsidRPr="00C46164">
        <w:rPr>
          <w:rFonts w:asciiTheme="minorHAnsi" w:eastAsia="標楷體" w:hAnsiTheme="minorHAnsi" w:cstheme="minorHAnsi"/>
        </w:rPr>
        <w:t>所列公式計算各學院比例</w:t>
      </w:r>
      <w:r w:rsidRPr="00C46164">
        <w:rPr>
          <w:rFonts w:asciiTheme="minorHAnsi" w:eastAsia="標楷體" w:hAnsiTheme="minorHAnsi" w:cstheme="minorHAnsi"/>
        </w:rPr>
        <w:t>作為預算分配基礎，</w:t>
      </w:r>
      <w:r w:rsidR="00F106FD" w:rsidRPr="00C46164">
        <w:rPr>
          <w:rFonts w:asciiTheme="minorHAnsi" w:eastAsia="標楷體" w:hAnsiTheme="minorHAnsi" w:cstheme="minorHAnsi"/>
        </w:rPr>
        <w:t>再由各學院分配至學系</w:t>
      </w:r>
      <w:r w:rsidR="00F106FD" w:rsidRPr="00C46164">
        <w:rPr>
          <w:rFonts w:asciiTheme="minorHAnsi" w:eastAsia="標楷體" w:hAnsiTheme="minorHAnsi" w:cstheme="minorHAnsi"/>
        </w:rPr>
        <w:t>(</w:t>
      </w:r>
      <w:r w:rsidR="00F106FD" w:rsidRPr="00C46164">
        <w:rPr>
          <w:rFonts w:asciiTheme="minorHAnsi" w:eastAsia="標楷體" w:hAnsiTheme="minorHAnsi" w:cstheme="minorHAnsi"/>
        </w:rPr>
        <w:t>所</w:t>
      </w:r>
      <w:r w:rsidR="00F106FD" w:rsidRPr="00C46164">
        <w:rPr>
          <w:rFonts w:asciiTheme="minorHAnsi" w:eastAsia="標楷體" w:hAnsiTheme="minorHAnsi" w:cstheme="minorHAnsi"/>
        </w:rPr>
        <w:t>)</w:t>
      </w:r>
      <w:r w:rsidRPr="00C46164">
        <w:rPr>
          <w:rFonts w:asciiTheme="minorHAnsi" w:eastAsia="標楷體" w:hAnsiTheme="minorHAnsi" w:cstheme="minorHAnsi"/>
        </w:rPr>
        <w:t>。</w:t>
      </w:r>
      <w:r w:rsidR="00F106FD" w:rsidRPr="00C46164">
        <w:rPr>
          <w:rFonts w:asciiTheme="minorHAnsi" w:eastAsia="標楷體" w:hAnsiTheme="minorHAnsi" w:cstheme="minorHAnsi"/>
        </w:rPr>
        <w:t>行政單位則依單位職員人數、</w:t>
      </w:r>
      <w:r w:rsidR="00F106FD" w:rsidRPr="00C46164">
        <w:rPr>
          <w:rFonts w:asciiTheme="minorHAnsi" w:eastAsia="標楷體" w:hAnsiTheme="minorHAnsi" w:cstheme="minorHAnsi"/>
        </w:rPr>
        <w:lastRenderedPageBreak/>
        <w:t>單位組別數及教師人數</w:t>
      </w:r>
      <w:r w:rsidR="00F106FD" w:rsidRPr="00C46164">
        <w:rPr>
          <w:rFonts w:asciiTheme="minorHAnsi" w:eastAsia="標楷體" w:hAnsiTheme="minorHAnsi" w:cstheme="minorHAnsi"/>
        </w:rPr>
        <w:t>(</w:t>
      </w:r>
      <w:r w:rsidR="00F106FD" w:rsidRPr="00C46164">
        <w:rPr>
          <w:rFonts w:asciiTheme="minorHAnsi" w:eastAsia="標楷體" w:hAnsiTheme="minorHAnsi" w:cstheme="minorHAnsi"/>
        </w:rPr>
        <w:t>學生人數</w:t>
      </w:r>
      <w:r w:rsidR="00F106FD" w:rsidRPr="00C46164">
        <w:rPr>
          <w:rFonts w:asciiTheme="minorHAnsi" w:eastAsia="標楷體" w:hAnsiTheme="minorHAnsi" w:cstheme="minorHAnsi"/>
        </w:rPr>
        <w:t>)</w:t>
      </w:r>
      <w:r w:rsidR="00F106FD" w:rsidRPr="00C46164">
        <w:rPr>
          <w:rFonts w:asciiTheme="minorHAnsi" w:eastAsia="標楷體" w:hAnsiTheme="minorHAnsi" w:cstheme="minorHAnsi"/>
        </w:rPr>
        <w:t>按公式計算基本預算額度。</w:t>
      </w:r>
    </w:p>
    <w:p w14:paraId="6D407A40" w14:textId="103C0EAA" w:rsidR="009904A4" w:rsidRPr="009904A4" w:rsidRDefault="009904A4" w:rsidP="009904A4">
      <w:pPr>
        <w:pStyle w:val="a7"/>
        <w:numPr>
          <w:ilvl w:val="0"/>
          <w:numId w:val="6"/>
        </w:numPr>
        <w:ind w:leftChars="0"/>
        <w:rPr>
          <w:rFonts w:asciiTheme="minorHAnsi" w:eastAsia="標楷體" w:hAnsiTheme="minorHAnsi" w:cstheme="minorHAnsi"/>
        </w:rPr>
      </w:pPr>
      <w:r w:rsidRPr="00AB1697">
        <w:rPr>
          <w:rFonts w:asciiTheme="minorHAnsi" w:eastAsia="標楷體" w:hAnsiTheme="minorHAnsi" w:cstheme="minorHAnsi"/>
        </w:rPr>
        <w:t>Basic Budget: This budget is required for the routine operations of each unit. Academic units base their allocation on the previous academic year's financial statements and</w:t>
      </w:r>
      <w:r>
        <w:rPr>
          <w:rFonts w:asciiTheme="minorHAnsi" w:eastAsia="標楷體" w:hAnsiTheme="minorHAnsi" w:cstheme="minorHAnsi"/>
        </w:rPr>
        <w:t xml:space="preserve"> </w:t>
      </w:r>
      <w:r w:rsidRPr="00AB1697">
        <w:rPr>
          <w:rFonts w:asciiTheme="minorHAnsi" w:eastAsia="標楷體" w:hAnsiTheme="minorHAnsi" w:cstheme="minorHAnsi"/>
        </w:rPr>
        <w:t xml:space="preserve">calculate the proportion for each college based on the </w:t>
      </w:r>
      <w:r>
        <w:rPr>
          <w:rFonts w:asciiTheme="minorHAnsi" w:eastAsia="標楷體" w:hAnsiTheme="minorHAnsi" w:cstheme="minorHAnsi"/>
        </w:rPr>
        <w:t xml:space="preserve">formulae listed in the </w:t>
      </w:r>
      <w:r w:rsidRPr="00AB1697">
        <w:rPr>
          <w:rFonts w:asciiTheme="minorHAnsi" w:eastAsia="標楷體" w:hAnsiTheme="minorHAnsi" w:cstheme="minorHAnsi"/>
        </w:rPr>
        <w:t>"Allocation Principles for Teaching Equipment and</w:t>
      </w:r>
      <w:r>
        <w:rPr>
          <w:rFonts w:asciiTheme="minorHAnsi" w:eastAsia="標楷體" w:hAnsiTheme="minorHAnsi" w:cstheme="minorHAnsi"/>
        </w:rPr>
        <w:t xml:space="preserve"> </w:t>
      </w:r>
      <w:r w:rsidRPr="00AB1697">
        <w:rPr>
          <w:rFonts w:asciiTheme="minorHAnsi" w:eastAsia="標楷體" w:hAnsiTheme="minorHAnsi" w:cstheme="minorHAnsi"/>
        </w:rPr>
        <w:t>Facilities</w:t>
      </w:r>
      <w:r>
        <w:rPr>
          <w:rFonts w:asciiTheme="minorHAnsi" w:eastAsia="標楷體" w:hAnsiTheme="minorHAnsi" w:cstheme="minorHAnsi"/>
        </w:rPr>
        <w:t xml:space="preserve"> </w:t>
      </w:r>
      <w:r w:rsidRPr="00AB1697">
        <w:rPr>
          <w:rFonts w:asciiTheme="minorHAnsi" w:eastAsia="標楷體" w:hAnsiTheme="minorHAnsi" w:cstheme="minorHAnsi"/>
        </w:rPr>
        <w:t xml:space="preserve">Expenses of </w:t>
      </w:r>
      <w:r>
        <w:rPr>
          <w:rFonts w:asciiTheme="minorHAnsi" w:eastAsia="標楷體" w:hAnsiTheme="minorHAnsi" w:cstheme="minorHAnsi"/>
        </w:rPr>
        <w:t>the School’s</w:t>
      </w:r>
      <w:r w:rsidRPr="00AB1697">
        <w:rPr>
          <w:rFonts w:asciiTheme="minorHAnsi" w:eastAsia="標楷體" w:hAnsiTheme="minorHAnsi" w:cstheme="minorHAnsi"/>
        </w:rPr>
        <w:t xml:space="preserve"> Academic Units." The colleges then distribute it to the respective departments or institutes. Administrative units calculate their basic budget limits based on the number of staff, organizational units, and the number of faculty members (or students) according to a specific formula.</w:t>
      </w:r>
    </w:p>
    <w:p w14:paraId="3CEB7423" w14:textId="77777777" w:rsidR="00385898" w:rsidRDefault="00F106FD" w:rsidP="001956AB">
      <w:pPr>
        <w:pStyle w:val="a7"/>
        <w:numPr>
          <w:ilvl w:val="0"/>
          <w:numId w:val="4"/>
        </w:numPr>
        <w:ind w:leftChars="0" w:left="1276" w:hanging="502"/>
        <w:rPr>
          <w:rFonts w:asciiTheme="minorHAnsi" w:eastAsia="標楷體" w:hAnsiTheme="minorHAnsi" w:cstheme="minorHAnsi"/>
        </w:rPr>
      </w:pPr>
      <w:r w:rsidRPr="00C46164">
        <w:rPr>
          <w:rFonts w:asciiTheme="minorHAnsi" w:eastAsia="標楷體" w:hAnsiTheme="minorHAnsi" w:cstheme="minorHAnsi"/>
        </w:rPr>
        <w:t>特殊預算</w:t>
      </w:r>
      <w:r w:rsidR="00385898" w:rsidRPr="00C46164">
        <w:rPr>
          <w:rFonts w:asciiTheme="minorHAnsi" w:eastAsia="標楷體" w:hAnsiTheme="minorHAnsi" w:cstheme="minorHAnsi"/>
        </w:rPr>
        <w:t>：</w:t>
      </w:r>
      <w:r w:rsidR="00C037C8" w:rsidRPr="00C46164">
        <w:rPr>
          <w:rFonts w:asciiTheme="minorHAnsi" w:eastAsia="標楷體" w:hAnsiTheme="minorHAnsi" w:cstheme="minorHAnsi"/>
        </w:rPr>
        <w:t>依</w:t>
      </w:r>
      <w:r w:rsidRPr="00C46164">
        <w:rPr>
          <w:rFonts w:asciiTheme="minorHAnsi" w:eastAsia="標楷體" w:hAnsiTheme="minorHAnsi" w:cstheme="minorHAnsi"/>
        </w:rPr>
        <w:t>各單位承辦業務或執行計畫之特殊性編列預算，因其性質具特殊專屬性，由所屬單位編列預算，其他單位不得再編列該預算，例如主管共識營費、訴訟律師費、員工教育訓練費等</w:t>
      </w:r>
      <w:r w:rsidR="00385898" w:rsidRPr="00C46164">
        <w:rPr>
          <w:rFonts w:asciiTheme="minorHAnsi" w:eastAsia="標楷體" w:hAnsiTheme="minorHAnsi" w:cstheme="minorHAnsi"/>
        </w:rPr>
        <w:t>。</w:t>
      </w:r>
    </w:p>
    <w:p w14:paraId="2C7ACB50" w14:textId="5C9FDF9D" w:rsidR="009904A4" w:rsidRPr="009904A4" w:rsidRDefault="009904A4" w:rsidP="009904A4">
      <w:pPr>
        <w:pStyle w:val="a7"/>
        <w:numPr>
          <w:ilvl w:val="0"/>
          <w:numId w:val="6"/>
        </w:numPr>
        <w:ind w:leftChars="0"/>
        <w:rPr>
          <w:rFonts w:asciiTheme="minorHAnsi" w:eastAsia="標楷體" w:hAnsiTheme="minorHAnsi" w:cstheme="minorHAnsi"/>
        </w:rPr>
      </w:pPr>
      <w:r w:rsidRPr="00AB1697">
        <w:rPr>
          <w:rFonts w:asciiTheme="minorHAnsi" w:eastAsia="標楷體" w:hAnsiTheme="minorHAnsi" w:cstheme="minorHAnsi"/>
        </w:rPr>
        <w:t>Special Budget: Budgets are allocated according to the specialized nature</w:t>
      </w:r>
      <w:r>
        <w:rPr>
          <w:rFonts w:asciiTheme="minorHAnsi" w:eastAsia="標楷體" w:hAnsiTheme="minorHAnsi" w:cstheme="minorHAnsi"/>
        </w:rPr>
        <w:t>s</w:t>
      </w:r>
      <w:r w:rsidRPr="00AB1697">
        <w:rPr>
          <w:rFonts w:asciiTheme="minorHAnsi" w:eastAsia="標楷體" w:hAnsiTheme="minorHAnsi" w:cstheme="minorHAnsi"/>
        </w:rPr>
        <w:t xml:space="preserve"> of tasks or projects undertaken by each unit. Given the exclusive nature</w:t>
      </w:r>
      <w:r>
        <w:rPr>
          <w:rFonts w:asciiTheme="minorHAnsi" w:eastAsia="標楷體" w:hAnsiTheme="minorHAnsi" w:cstheme="minorHAnsi"/>
        </w:rPr>
        <w:t>s</w:t>
      </w:r>
      <w:r w:rsidRPr="00AB1697">
        <w:rPr>
          <w:rFonts w:asciiTheme="minorHAnsi" w:eastAsia="標楷體" w:hAnsiTheme="minorHAnsi" w:cstheme="minorHAnsi"/>
        </w:rPr>
        <w:t xml:space="preserve"> of these budgets, they are </w:t>
      </w:r>
      <w:r>
        <w:rPr>
          <w:rFonts w:asciiTheme="minorHAnsi" w:eastAsia="標楷體" w:hAnsiTheme="minorHAnsi" w:cstheme="minorHAnsi"/>
        </w:rPr>
        <w:t>compiled</w:t>
      </w:r>
      <w:r w:rsidRPr="00AB1697">
        <w:rPr>
          <w:rFonts w:asciiTheme="minorHAnsi" w:eastAsia="標楷體" w:hAnsiTheme="minorHAnsi" w:cstheme="minorHAnsi"/>
        </w:rPr>
        <w:t xml:space="preserve"> solely by the unit responsible, and other units may not allocate such budgets. Examples include </w:t>
      </w:r>
      <w:r w:rsidRPr="00597802">
        <w:rPr>
          <w:rFonts w:asciiTheme="minorHAnsi" w:eastAsia="標楷體" w:hAnsiTheme="minorHAnsi" w:cstheme="minorHAnsi"/>
        </w:rPr>
        <w:t>management consensus camps</w:t>
      </w:r>
      <w:r w:rsidRPr="00AB1697">
        <w:rPr>
          <w:rFonts w:asciiTheme="minorHAnsi" w:eastAsia="標楷體" w:hAnsiTheme="minorHAnsi" w:cstheme="minorHAnsi"/>
        </w:rPr>
        <w:t>, litigation attorney fees, employee training and education expenses, etc.</w:t>
      </w:r>
    </w:p>
    <w:p w14:paraId="3CEB7424" w14:textId="3127A680" w:rsidR="00F106FD" w:rsidRDefault="00F106FD" w:rsidP="001956AB">
      <w:pPr>
        <w:pStyle w:val="a7"/>
        <w:numPr>
          <w:ilvl w:val="0"/>
          <w:numId w:val="4"/>
        </w:numPr>
        <w:spacing w:afterLines="20" w:after="72"/>
        <w:ind w:leftChars="0" w:left="1282" w:hanging="505"/>
        <w:rPr>
          <w:rFonts w:asciiTheme="minorHAnsi" w:eastAsia="標楷體" w:hAnsiTheme="minorHAnsi" w:cstheme="minorHAnsi"/>
        </w:rPr>
      </w:pPr>
      <w:r w:rsidRPr="00C46164">
        <w:rPr>
          <w:rFonts w:asciiTheme="minorHAnsi" w:eastAsia="標楷體" w:hAnsiTheme="minorHAnsi" w:cstheme="minorHAnsi"/>
        </w:rPr>
        <w:t>統籌預算</w:t>
      </w:r>
      <w:r w:rsidRPr="00C46164">
        <w:rPr>
          <w:rFonts w:asciiTheme="minorHAnsi" w:eastAsia="標楷體" w:hAnsiTheme="minorHAnsi" w:cstheme="minorHAnsi"/>
        </w:rPr>
        <w:t>:</w:t>
      </w:r>
      <w:r w:rsidR="00C037C8" w:rsidRPr="00C46164">
        <w:rPr>
          <w:rFonts w:asciiTheme="minorHAnsi" w:eastAsia="標楷體" w:hAnsiTheme="minorHAnsi" w:cstheme="minorHAnsi"/>
        </w:rPr>
        <w:t>各單位</w:t>
      </w:r>
      <w:r w:rsidRPr="00C46164">
        <w:rPr>
          <w:rFonts w:asciiTheme="minorHAnsi" w:eastAsia="標楷體" w:hAnsiTheme="minorHAnsi" w:cstheme="minorHAnsi"/>
        </w:rPr>
        <w:t>發生之經費有全校性支出之性質者，由</w:t>
      </w:r>
      <w:r w:rsidR="00C037C8" w:rsidRPr="00C46164">
        <w:rPr>
          <w:rFonts w:asciiTheme="minorHAnsi" w:eastAsia="標楷體" w:hAnsiTheme="minorHAnsi" w:cstheme="minorHAnsi"/>
        </w:rPr>
        <w:t>權責</w:t>
      </w:r>
      <w:r w:rsidRPr="00C46164">
        <w:rPr>
          <w:rFonts w:asciiTheme="minorHAnsi" w:eastAsia="標楷體" w:hAnsiTheme="minorHAnsi" w:cstheme="minorHAnsi"/>
        </w:rPr>
        <w:t>單位統籌編列預算</w:t>
      </w:r>
      <w:r w:rsidR="00C037C8" w:rsidRPr="00C46164">
        <w:rPr>
          <w:rFonts w:asciiTheme="minorHAnsi" w:eastAsia="標楷體" w:hAnsiTheme="minorHAnsi" w:cstheme="minorHAnsi"/>
        </w:rPr>
        <w:t>，</w:t>
      </w:r>
      <w:r w:rsidRPr="00C46164">
        <w:rPr>
          <w:rFonts w:asciiTheme="minorHAnsi" w:eastAsia="標楷體" w:hAnsiTheme="minorHAnsi" w:cstheme="minorHAnsi"/>
        </w:rPr>
        <w:t>其他單位不得再編列該預算，例如全校水電費、建物維護費、人事費等。</w:t>
      </w:r>
    </w:p>
    <w:p w14:paraId="592B3B5D" w14:textId="2E7D6DEF" w:rsidR="00A360BA" w:rsidRPr="009904A4" w:rsidRDefault="009904A4" w:rsidP="009904A4">
      <w:pPr>
        <w:pStyle w:val="a7"/>
        <w:numPr>
          <w:ilvl w:val="0"/>
          <w:numId w:val="6"/>
        </w:numPr>
        <w:spacing w:afterLines="20" w:after="72"/>
        <w:ind w:leftChars="0"/>
        <w:rPr>
          <w:rFonts w:asciiTheme="minorHAnsi" w:eastAsia="標楷體" w:hAnsiTheme="minorHAnsi" w:cstheme="minorHAnsi"/>
        </w:rPr>
      </w:pPr>
      <w:r w:rsidRPr="00AB1697">
        <w:rPr>
          <w:rFonts w:asciiTheme="minorHAnsi" w:eastAsia="標楷體" w:hAnsiTheme="minorHAnsi" w:cstheme="minorHAnsi"/>
        </w:rPr>
        <w:t>Consolidated Budget: Budgets of a University-wide expenditure nature incurred by various units are centrally managed and allocated by the responsible unit</w:t>
      </w:r>
      <w:r>
        <w:rPr>
          <w:rFonts w:asciiTheme="minorHAnsi" w:eastAsia="標楷體" w:hAnsiTheme="minorHAnsi" w:cstheme="minorHAnsi"/>
        </w:rPr>
        <w:t>s</w:t>
      </w:r>
      <w:r w:rsidRPr="00AB1697">
        <w:rPr>
          <w:rFonts w:asciiTheme="minorHAnsi" w:eastAsia="標楷體" w:hAnsiTheme="minorHAnsi" w:cstheme="minorHAnsi"/>
        </w:rPr>
        <w:t>, and other units may not allocate such budgets. Examples include University-wide utilities, building maintenance costs, personnel expenses, etc.</w:t>
      </w:r>
    </w:p>
    <w:p w14:paraId="3CEB7425" w14:textId="5C709A02" w:rsidR="00385898" w:rsidRDefault="00C037C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預算編製原則上採線上作業，請於線上作業完成後，列印相關報表並檢附相關文件後，再依序陳送。</w:t>
      </w:r>
    </w:p>
    <w:p w14:paraId="66D11F4F" w14:textId="4CAE1BBF" w:rsidR="00A360BA" w:rsidRPr="009904A4" w:rsidRDefault="007C1D47" w:rsidP="009904A4">
      <w:pPr>
        <w:pStyle w:val="a7"/>
        <w:numPr>
          <w:ilvl w:val="0"/>
          <w:numId w:val="5"/>
        </w:numPr>
        <w:spacing w:afterLines="20" w:after="72"/>
        <w:ind w:leftChars="0"/>
        <w:rPr>
          <w:rFonts w:asciiTheme="minorHAnsi" w:eastAsia="標楷體" w:hAnsiTheme="minorHAnsi" w:cstheme="minorHAnsi"/>
        </w:rPr>
      </w:pPr>
      <w:r w:rsidRPr="009904A4">
        <w:rPr>
          <w:rFonts w:asciiTheme="minorHAnsi" w:eastAsia="標楷體" w:hAnsiTheme="minorHAnsi" w:cstheme="minorHAnsi"/>
        </w:rPr>
        <w:t xml:space="preserve">The budget compilation shall principally be conducted online. Upon completion of the online </w:t>
      </w:r>
      <w:r w:rsidRPr="009904A4">
        <w:rPr>
          <w:rFonts w:asciiTheme="minorHAnsi" w:eastAsia="標楷體" w:hAnsiTheme="minorHAnsi" w:cstheme="minorHAnsi"/>
        </w:rPr>
        <w:tab/>
        <w:t xml:space="preserve">operations, please print the relevant reports and attach the necessary documents before </w:t>
      </w:r>
      <w:r w:rsidRPr="009904A4">
        <w:rPr>
          <w:rFonts w:asciiTheme="minorHAnsi" w:eastAsia="標楷體" w:hAnsiTheme="minorHAnsi" w:cstheme="minorHAnsi"/>
        </w:rPr>
        <w:tab/>
        <w:t>submitting them in the designated sequence.</w:t>
      </w:r>
    </w:p>
    <w:p w14:paraId="3CEB7426" w14:textId="3B52729F" w:rsidR="00385898" w:rsidRDefault="00F106FD"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各單位編列之</w:t>
      </w:r>
      <w:r w:rsidR="00385898" w:rsidRPr="00C46164">
        <w:rPr>
          <w:rFonts w:asciiTheme="minorHAnsi" w:eastAsia="標楷體" w:hAnsiTheme="minorHAnsi" w:cstheme="minorHAnsi"/>
        </w:rPr>
        <w:t>預算經</w:t>
      </w:r>
      <w:r w:rsidRPr="00C46164">
        <w:rPr>
          <w:rFonts w:asciiTheme="minorHAnsi" w:eastAsia="標楷體" w:hAnsiTheme="minorHAnsi" w:cstheme="minorHAnsi"/>
        </w:rPr>
        <w:t>相關功能委員會</w:t>
      </w:r>
      <w:r w:rsidR="00385898" w:rsidRPr="00C46164">
        <w:rPr>
          <w:rFonts w:asciiTheme="minorHAnsi" w:eastAsia="標楷體" w:hAnsiTheme="minorHAnsi" w:cstheme="minorHAnsi"/>
        </w:rPr>
        <w:t>審議</w:t>
      </w:r>
      <w:r w:rsidRPr="00C46164">
        <w:rPr>
          <w:rFonts w:asciiTheme="minorHAnsi" w:eastAsia="標楷體" w:hAnsiTheme="minorHAnsi" w:cstheme="minorHAnsi"/>
        </w:rPr>
        <w:t>後送會計室彙整</w:t>
      </w:r>
      <w:r w:rsidR="00385898" w:rsidRPr="00C46164">
        <w:rPr>
          <w:rFonts w:asciiTheme="minorHAnsi" w:eastAsia="標楷體" w:hAnsiTheme="minorHAnsi" w:cstheme="minorHAnsi"/>
        </w:rPr>
        <w:t>，</w:t>
      </w:r>
      <w:r w:rsidRPr="00C46164">
        <w:rPr>
          <w:rFonts w:asciiTheme="minorHAnsi" w:eastAsia="標楷體" w:hAnsiTheme="minorHAnsi" w:cstheme="minorHAnsi"/>
        </w:rPr>
        <w:t>並由</w:t>
      </w:r>
      <w:r w:rsidR="00385898" w:rsidRPr="00C46164">
        <w:rPr>
          <w:rFonts w:asciiTheme="minorHAnsi" w:eastAsia="標楷體" w:hAnsiTheme="minorHAnsi" w:cstheme="minorHAnsi"/>
        </w:rPr>
        <w:t>預算</w:t>
      </w:r>
      <w:r w:rsidRPr="00C46164">
        <w:rPr>
          <w:rFonts w:asciiTheme="minorHAnsi" w:eastAsia="標楷體" w:hAnsiTheme="minorHAnsi" w:cstheme="minorHAnsi"/>
        </w:rPr>
        <w:t>委員會</w:t>
      </w:r>
      <w:r w:rsidR="00385898" w:rsidRPr="00C46164">
        <w:rPr>
          <w:rFonts w:asciiTheme="minorHAnsi" w:eastAsia="標楷體" w:hAnsiTheme="minorHAnsi" w:cstheme="minorHAnsi"/>
        </w:rPr>
        <w:t>審</w:t>
      </w:r>
      <w:r w:rsidRPr="00C46164">
        <w:rPr>
          <w:rFonts w:asciiTheme="minorHAnsi" w:eastAsia="標楷體" w:hAnsiTheme="minorHAnsi" w:cstheme="minorHAnsi"/>
        </w:rPr>
        <w:t>議各單位</w:t>
      </w:r>
      <w:r w:rsidR="00C037C8" w:rsidRPr="00C46164">
        <w:rPr>
          <w:rFonts w:asciiTheme="minorHAnsi" w:eastAsia="標楷體" w:hAnsiTheme="minorHAnsi" w:cstheme="minorHAnsi"/>
        </w:rPr>
        <w:t>之預算，包括</w:t>
      </w:r>
      <w:r w:rsidRPr="00C46164">
        <w:rPr>
          <w:rFonts w:asciiTheme="minorHAnsi" w:eastAsia="標楷體" w:hAnsiTheme="minorHAnsi" w:cstheme="minorHAnsi"/>
        </w:rPr>
        <w:t>業務或</w:t>
      </w:r>
      <w:r w:rsidR="00385898" w:rsidRPr="00C46164">
        <w:rPr>
          <w:rFonts w:asciiTheme="minorHAnsi" w:eastAsia="標楷體" w:hAnsiTheme="minorHAnsi" w:cstheme="minorHAnsi"/>
        </w:rPr>
        <w:t>計畫優先順序</w:t>
      </w:r>
      <w:r w:rsidR="00C037C8" w:rsidRPr="00C46164">
        <w:rPr>
          <w:rFonts w:asciiTheme="minorHAnsi" w:eastAsia="標楷體" w:hAnsiTheme="minorHAnsi" w:cstheme="minorHAnsi"/>
        </w:rPr>
        <w:t>、預算合理性</w:t>
      </w:r>
      <w:r w:rsidR="00385898" w:rsidRPr="00C46164">
        <w:rPr>
          <w:rFonts w:asciiTheme="minorHAnsi" w:eastAsia="標楷體" w:hAnsiTheme="minorHAnsi" w:cstheme="minorHAnsi"/>
        </w:rPr>
        <w:t>及</w:t>
      </w:r>
      <w:r w:rsidR="00C037C8" w:rsidRPr="00C46164">
        <w:rPr>
          <w:rFonts w:asciiTheme="minorHAnsi" w:eastAsia="標楷體" w:hAnsiTheme="minorHAnsi" w:cstheme="minorHAnsi"/>
        </w:rPr>
        <w:t>考量</w:t>
      </w:r>
      <w:r w:rsidR="00385898" w:rsidRPr="00C46164">
        <w:rPr>
          <w:rFonts w:asciiTheme="minorHAnsi" w:eastAsia="標楷體" w:hAnsiTheme="minorHAnsi" w:cstheme="minorHAnsi"/>
        </w:rPr>
        <w:t>預算額</w:t>
      </w:r>
      <w:r w:rsidR="00C037C8" w:rsidRPr="00C46164">
        <w:rPr>
          <w:rFonts w:asciiTheme="minorHAnsi" w:eastAsia="標楷體" w:hAnsiTheme="minorHAnsi" w:cstheme="minorHAnsi"/>
        </w:rPr>
        <w:t>度等，</w:t>
      </w:r>
      <w:r w:rsidRPr="00C46164">
        <w:rPr>
          <w:rFonts w:asciiTheme="minorHAnsi" w:eastAsia="標楷體" w:hAnsiTheme="minorHAnsi" w:cstheme="minorHAnsi"/>
        </w:rPr>
        <w:t>以調整</w:t>
      </w:r>
      <w:r w:rsidR="00C037C8" w:rsidRPr="00C46164">
        <w:rPr>
          <w:rFonts w:asciiTheme="minorHAnsi" w:eastAsia="標楷體" w:hAnsiTheme="minorHAnsi" w:cstheme="minorHAnsi"/>
        </w:rPr>
        <w:t>各單位</w:t>
      </w:r>
      <w:r w:rsidRPr="00C46164">
        <w:rPr>
          <w:rFonts w:asciiTheme="minorHAnsi" w:eastAsia="標楷體" w:hAnsiTheme="minorHAnsi" w:cstheme="minorHAnsi"/>
        </w:rPr>
        <w:t>預算編列</w:t>
      </w:r>
      <w:r w:rsidR="00C037C8" w:rsidRPr="00C46164">
        <w:rPr>
          <w:rFonts w:asciiTheme="minorHAnsi" w:eastAsia="標楷體" w:hAnsiTheme="minorHAnsi" w:cstheme="minorHAnsi"/>
        </w:rPr>
        <w:t>金</w:t>
      </w:r>
      <w:r w:rsidRPr="00C46164">
        <w:rPr>
          <w:rFonts w:asciiTheme="minorHAnsi" w:eastAsia="標楷體" w:hAnsiTheme="minorHAnsi" w:cstheme="minorHAnsi"/>
        </w:rPr>
        <w:t>額</w:t>
      </w:r>
      <w:r w:rsidR="00385898" w:rsidRPr="00C46164">
        <w:rPr>
          <w:rFonts w:asciiTheme="minorHAnsi" w:eastAsia="標楷體" w:hAnsiTheme="minorHAnsi" w:cstheme="minorHAnsi"/>
        </w:rPr>
        <w:t>，</w:t>
      </w:r>
      <w:r w:rsidRPr="00C46164">
        <w:rPr>
          <w:rFonts w:asciiTheme="minorHAnsi" w:eastAsia="標楷體" w:hAnsiTheme="minorHAnsi" w:cstheme="minorHAnsi"/>
        </w:rPr>
        <w:t>經預算委員會審議調整後之預算由會計室整理彙編年度預算案，提交校務會議</w:t>
      </w:r>
      <w:r w:rsidR="001956AB" w:rsidRPr="00C46164">
        <w:rPr>
          <w:rFonts w:asciiTheme="minorHAnsi" w:eastAsia="標楷體" w:hAnsiTheme="minorHAnsi" w:cstheme="minorHAnsi" w:hint="eastAsia"/>
        </w:rPr>
        <w:t>審議</w:t>
      </w:r>
      <w:r w:rsidRPr="00C46164">
        <w:rPr>
          <w:rFonts w:asciiTheme="minorHAnsi" w:eastAsia="標楷體" w:hAnsiTheme="minorHAnsi" w:cstheme="minorHAnsi"/>
        </w:rPr>
        <w:t>，呈</w:t>
      </w:r>
      <w:r w:rsidR="001956AB" w:rsidRPr="00C46164">
        <w:rPr>
          <w:rFonts w:asciiTheme="minorHAnsi" w:eastAsia="標楷體" w:hAnsiTheme="minorHAnsi" w:cstheme="minorHAnsi" w:hint="eastAsia"/>
        </w:rPr>
        <w:t>請</w:t>
      </w:r>
      <w:r w:rsidRPr="00C46164">
        <w:rPr>
          <w:rFonts w:asciiTheme="minorHAnsi" w:eastAsia="標楷體" w:hAnsiTheme="minorHAnsi" w:cstheme="minorHAnsi"/>
        </w:rPr>
        <w:t>董事會審</w:t>
      </w:r>
      <w:r w:rsidR="001956AB" w:rsidRPr="00C46164">
        <w:rPr>
          <w:rFonts w:asciiTheme="minorHAnsi" w:eastAsia="標楷體" w:hAnsiTheme="minorHAnsi" w:cstheme="minorHAnsi" w:hint="eastAsia"/>
        </w:rPr>
        <w:t>核</w:t>
      </w:r>
      <w:r w:rsidRPr="00C46164">
        <w:rPr>
          <w:rFonts w:asciiTheme="minorHAnsi" w:eastAsia="標楷體" w:hAnsiTheme="minorHAnsi" w:cstheme="minorHAnsi"/>
        </w:rPr>
        <w:t>，</w:t>
      </w:r>
      <w:r w:rsidR="00385898" w:rsidRPr="00C46164">
        <w:rPr>
          <w:rFonts w:asciiTheme="minorHAnsi" w:eastAsia="標楷體" w:hAnsiTheme="minorHAnsi" w:cstheme="minorHAnsi"/>
        </w:rPr>
        <w:t>於每年七月底前報請教育部備查。</w:t>
      </w:r>
    </w:p>
    <w:p w14:paraId="650411B8" w14:textId="3A6696EA" w:rsidR="00A360BA" w:rsidRPr="009904A4" w:rsidRDefault="007C1D47" w:rsidP="009904A4">
      <w:pPr>
        <w:pStyle w:val="a7"/>
        <w:numPr>
          <w:ilvl w:val="0"/>
          <w:numId w:val="5"/>
        </w:numPr>
        <w:spacing w:afterLines="20" w:after="72"/>
        <w:ind w:leftChars="0"/>
        <w:rPr>
          <w:rFonts w:asciiTheme="minorHAnsi" w:eastAsia="標楷體" w:hAnsiTheme="minorHAnsi" w:cstheme="minorHAnsi"/>
        </w:rPr>
      </w:pPr>
      <w:r w:rsidRPr="009904A4">
        <w:rPr>
          <w:rFonts w:asciiTheme="minorHAnsi" w:eastAsia="標楷體" w:hAnsiTheme="minorHAnsi" w:cstheme="minorHAnsi"/>
        </w:rPr>
        <w:t xml:space="preserve">The budgets compiled by various departments shall be submitted to the Office of Accounting </w:t>
      </w:r>
      <w:r w:rsidRPr="009904A4">
        <w:rPr>
          <w:rFonts w:asciiTheme="minorHAnsi" w:eastAsia="標楷體" w:hAnsiTheme="minorHAnsi" w:cstheme="minorHAnsi"/>
        </w:rPr>
        <w:tab/>
        <w:t xml:space="preserve">for consolidation after review by the relevant functional committees. The Budget Committee </w:t>
      </w:r>
      <w:r w:rsidRPr="009904A4">
        <w:rPr>
          <w:rFonts w:asciiTheme="minorHAnsi" w:eastAsia="標楷體" w:hAnsiTheme="minorHAnsi" w:cstheme="minorHAnsi"/>
        </w:rPr>
        <w:tab/>
        <w:t xml:space="preserve">shall then review the budgets of each department, including considerations of project or task </w:t>
      </w:r>
      <w:r w:rsidRPr="009904A4">
        <w:rPr>
          <w:rFonts w:asciiTheme="minorHAnsi" w:eastAsia="標楷體" w:hAnsiTheme="minorHAnsi" w:cstheme="minorHAnsi"/>
        </w:rPr>
        <w:tab/>
        <w:t xml:space="preserve">priorities, budget rationality, and budget limits, to adjust the budgeted amounts. The adjusted </w:t>
      </w:r>
      <w:r w:rsidRPr="009904A4">
        <w:rPr>
          <w:rFonts w:asciiTheme="minorHAnsi" w:eastAsia="標楷體" w:hAnsiTheme="minorHAnsi" w:cstheme="minorHAnsi"/>
        </w:rPr>
        <w:tab/>
        <w:t xml:space="preserve">budget, once reviewed by the Budget Committee, will be consolidated into an annual budget </w:t>
      </w:r>
      <w:r w:rsidRPr="009904A4">
        <w:rPr>
          <w:rFonts w:asciiTheme="minorHAnsi" w:eastAsia="標楷體" w:hAnsiTheme="minorHAnsi" w:cstheme="minorHAnsi"/>
        </w:rPr>
        <w:tab/>
        <w:t xml:space="preserve">proposal by the Office of Accounting, submitted for review by the University Affairs Meeting, </w:t>
      </w:r>
      <w:r w:rsidRPr="009904A4">
        <w:rPr>
          <w:rFonts w:asciiTheme="minorHAnsi" w:eastAsia="標楷體" w:hAnsiTheme="minorHAnsi" w:cstheme="minorHAnsi"/>
        </w:rPr>
        <w:tab/>
        <w:t xml:space="preserve">and then forwarded to the Board of Directors for approval. The finalized budget shall be </w:t>
      </w:r>
      <w:r w:rsidRPr="009904A4">
        <w:rPr>
          <w:rFonts w:asciiTheme="minorHAnsi" w:eastAsia="標楷體" w:hAnsiTheme="minorHAnsi" w:cstheme="minorHAnsi"/>
        </w:rPr>
        <w:lastRenderedPageBreak/>
        <w:tab/>
        <w:t>submitted to the Ministry of Education for record</w:t>
      </w:r>
      <w:r w:rsidR="009904A4">
        <w:rPr>
          <w:rFonts w:asciiTheme="minorHAnsi" w:eastAsia="標楷體" w:hAnsiTheme="minorHAnsi" w:cstheme="minorHAnsi"/>
        </w:rPr>
        <w:t>ation</w:t>
      </w:r>
      <w:r w:rsidRPr="009904A4">
        <w:rPr>
          <w:rFonts w:asciiTheme="minorHAnsi" w:eastAsia="標楷體" w:hAnsiTheme="minorHAnsi" w:cstheme="minorHAnsi"/>
        </w:rPr>
        <w:t xml:space="preserve"> by the end of July each year.</w:t>
      </w:r>
    </w:p>
    <w:p w14:paraId="3CEB7427" w14:textId="56CA7CA7" w:rsidR="001956AB" w:rsidRDefault="00B930C9" w:rsidP="00B930C9">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hint="eastAsia"/>
        </w:rPr>
        <w:t>本校附屬機構暨相關事業預算編審另訂定之，並經校務會議審議後實施。</w:t>
      </w:r>
    </w:p>
    <w:p w14:paraId="311CEB9C" w14:textId="28696CF4" w:rsidR="00A360BA" w:rsidRPr="009904A4" w:rsidRDefault="0058350E" w:rsidP="009904A4">
      <w:pPr>
        <w:pStyle w:val="a7"/>
        <w:numPr>
          <w:ilvl w:val="0"/>
          <w:numId w:val="5"/>
        </w:numPr>
        <w:spacing w:afterLines="20" w:after="72"/>
        <w:ind w:leftChars="0"/>
        <w:rPr>
          <w:rFonts w:asciiTheme="minorHAnsi" w:eastAsia="標楷體" w:hAnsiTheme="minorHAnsi" w:cstheme="minorHAnsi"/>
        </w:rPr>
      </w:pPr>
      <w:r w:rsidRPr="009904A4">
        <w:rPr>
          <w:rFonts w:asciiTheme="minorHAnsi" w:eastAsia="標楷體" w:hAnsiTheme="minorHAnsi" w:cstheme="minorHAnsi"/>
        </w:rPr>
        <w:t xml:space="preserve">The budget compilation and review for </w:t>
      </w:r>
      <w:r w:rsidR="009904A4" w:rsidRPr="009904A4">
        <w:rPr>
          <w:rFonts w:asciiTheme="minorHAnsi" w:eastAsia="標楷體" w:hAnsiTheme="minorHAnsi" w:cstheme="minorHAnsi"/>
        </w:rPr>
        <w:t>the school’s</w:t>
      </w:r>
      <w:r w:rsidRPr="009904A4">
        <w:rPr>
          <w:rFonts w:asciiTheme="minorHAnsi" w:eastAsia="標楷體" w:hAnsiTheme="minorHAnsi" w:cstheme="minorHAnsi"/>
        </w:rPr>
        <w:t xml:space="preserve"> affiliated institutions and related </w:t>
      </w:r>
      <w:r w:rsidRPr="009904A4">
        <w:rPr>
          <w:rFonts w:asciiTheme="minorHAnsi" w:eastAsia="標楷體" w:hAnsiTheme="minorHAnsi" w:cstheme="minorHAnsi"/>
        </w:rPr>
        <w:tab/>
        <w:t xml:space="preserve">businesses shall be separately established and implemented following approval by the </w:t>
      </w:r>
      <w:r w:rsidRPr="009904A4">
        <w:rPr>
          <w:rFonts w:asciiTheme="minorHAnsi" w:eastAsia="標楷體" w:hAnsiTheme="minorHAnsi" w:cstheme="minorHAnsi"/>
        </w:rPr>
        <w:tab/>
      </w:r>
      <w:r w:rsidR="009904A4" w:rsidRPr="009904A4">
        <w:rPr>
          <w:rFonts w:asciiTheme="minorHAnsi" w:eastAsia="標楷體" w:hAnsiTheme="minorHAnsi" w:cstheme="minorHAnsi" w:hint="eastAsia"/>
        </w:rPr>
        <w:t>University Council</w:t>
      </w:r>
      <w:r w:rsidRPr="009904A4">
        <w:rPr>
          <w:rFonts w:asciiTheme="minorHAnsi" w:eastAsia="標楷體" w:hAnsiTheme="minorHAnsi" w:cstheme="minorHAnsi"/>
        </w:rPr>
        <w:t>.</w:t>
      </w:r>
    </w:p>
    <w:p w14:paraId="3CEB7428" w14:textId="5C8F9711" w:rsidR="00385898" w:rsidRDefault="00385898" w:rsidP="001956AB">
      <w:pPr>
        <w:numPr>
          <w:ilvl w:val="0"/>
          <w:numId w:val="1"/>
        </w:numPr>
        <w:spacing w:afterLines="20" w:after="72"/>
        <w:ind w:left="720" w:hangingChars="300" w:hanging="720"/>
        <w:rPr>
          <w:rFonts w:asciiTheme="minorHAnsi" w:eastAsia="標楷體" w:hAnsiTheme="minorHAnsi" w:cstheme="minorHAnsi"/>
        </w:rPr>
      </w:pPr>
      <w:r w:rsidRPr="00C46164">
        <w:rPr>
          <w:rFonts w:asciiTheme="minorHAnsi" w:eastAsia="標楷體" w:hAnsiTheme="minorHAnsi" w:cstheme="minorHAnsi"/>
        </w:rPr>
        <w:t>本要點經</w:t>
      </w:r>
      <w:r w:rsidR="00F106FD" w:rsidRPr="00C46164">
        <w:rPr>
          <w:rFonts w:asciiTheme="minorHAnsi" w:eastAsia="標楷體" w:hAnsiTheme="minorHAnsi" w:cstheme="minorHAnsi"/>
        </w:rPr>
        <w:t>校</w:t>
      </w:r>
      <w:r w:rsidRPr="00C46164">
        <w:rPr>
          <w:rFonts w:asciiTheme="minorHAnsi" w:eastAsia="標楷體" w:hAnsiTheme="minorHAnsi" w:cstheme="minorHAnsi"/>
        </w:rPr>
        <w:t>務會議</w:t>
      </w:r>
      <w:r w:rsidR="001956AB" w:rsidRPr="00C46164">
        <w:rPr>
          <w:rFonts w:asciiTheme="minorHAnsi" w:eastAsia="標楷體" w:hAnsiTheme="minorHAnsi" w:cstheme="minorHAnsi" w:hint="eastAsia"/>
        </w:rPr>
        <w:t>審議</w:t>
      </w:r>
      <w:r w:rsidR="00F106FD" w:rsidRPr="00C46164">
        <w:rPr>
          <w:rFonts w:asciiTheme="minorHAnsi" w:eastAsia="標楷體" w:hAnsiTheme="minorHAnsi" w:cstheme="minorHAnsi"/>
        </w:rPr>
        <w:t>後實施</w:t>
      </w:r>
      <w:r w:rsidRPr="00C46164">
        <w:rPr>
          <w:rFonts w:asciiTheme="minorHAnsi" w:eastAsia="標楷體" w:hAnsiTheme="minorHAnsi" w:cstheme="minorHAnsi"/>
        </w:rPr>
        <w:t>。</w:t>
      </w:r>
    </w:p>
    <w:p w14:paraId="0BA34C7B" w14:textId="771B71E8" w:rsidR="00A360BA" w:rsidRPr="009904A4" w:rsidRDefault="0058350E" w:rsidP="009904A4">
      <w:pPr>
        <w:pStyle w:val="a7"/>
        <w:numPr>
          <w:ilvl w:val="0"/>
          <w:numId w:val="5"/>
        </w:numPr>
        <w:spacing w:afterLines="20" w:after="72"/>
        <w:ind w:leftChars="0"/>
        <w:rPr>
          <w:rFonts w:asciiTheme="minorHAnsi" w:eastAsia="標楷體" w:hAnsiTheme="minorHAnsi" w:cstheme="minorHAnsi"/>
        </w:rPr>
      </w:pPr>
      <w:r w:rsidRPr="009904A4">
        <w:rPr>
          <w:rFonts w:asciiTheme="minorHAnsi" w:eastAsia="標楷體" w:hAnsiTheme="minorHAnsi" w:cstheme="minorHAnsi"/>
        </w:rPr>
        <w:t>The</w:t>
      </w:r>
      <w:r w:rsidR="009904A4">
        <w:rPr>
          <w:rFonts w:asciiTheme="minorHAnsi" w:eastAsia="標楷體" w:hAnsiTheme="minorHAnsi" w:cstheme="minorHAnsi"/>
        </w:rPr>
        <w:t xml:space="preserve"> </w:t>
      </w:r>
      <w:r w:rsidR="009904A4" w:rsidRPr="009904A4">
        <w:rPr>
          <w:rFonts w:asciiTheme="minorHAnsi" w:eastAsia="標楷體" w:hAnsiTheme="minorHAnsi" w:cstheme="minorHAnsi"/>
        </w:rPr>
        <w:t>Directives</w:t>
      </w:r>
      <w:r w:rsidRPr="009904A4">
        <w:rPr>
          <w:rFonts w:asciiTheme="minorHAnsi" w:eastAsia="標楷體" w:hAnsiTheme="minorHAnsi" w:cstheme="minorHAnsi"/>
        </w:rPr>
        <w:t xml:space="preserve"> shall be implemented following approval by the </w:t>
      </w:r>
      <w:r w:rsidR="009904A4" w:rsidRPr="009904A4">
        <w:rPr>
          <w:rFonts w:asciiTheme="minorHAnsi" w:eastAsia="標楷體" w:hAnsiTheme="minorHAnsi" w:cstheme="minorHAnsi" w:hint="eastAsia"/>
        </w:rPr>
        <w:t>University Council</w:t>
      </w:r>
      <w:r w:rsidR="009904A4">
        <w:rPr>
          <w:rFonts w:asciiTheme="minorHAnsi" w:eastAsia="標楷體" w:hAnsiTheme="minorHAnsi" w:cstheme="minorHAnsi"/>
        </w:rPr>
        <w:t xml:space="preserve">. </w:t>
      </w:r>
    </w:p>
    <w:sectPr w:rsidR="00A360BA" w:rsidRPr="009904A4" w:rsidSect="00CF5770">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AB07C" w14:textId="77777777" w:rsidR="006E2798" w:rsidRDefault="006E2798" w:rsidP="00EB4B93">
      <w:r>
        <w:separator/>
      </w:r>
    </w:p>
  </w:endnote>
  <w:endnote w:type="continuationSeparator" w:id="0">
    <w:p w14:paraId="56F46A08" w14:textId="77777777" w:rsidR="006E2798" w:rsidRDefault="006E2798" w:rsidP="00EB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B742D" w14:textId="6BE12A87" w:rsidR="00CF5770" w:rsidRPr="00CF5770" w:rsidRDefault="00CF5770" w:rsidP="00CF5770">
    <w:pPr>
      <w:pStyle w:val="a5"/>
      <w:jc w:val="center"/>
      <w:rPr>
        <w:sz w:val="24"/>
      </w:rPr>
    </w:pPr>
    <w:r w:rsidRPr="00CF5770">
      <w:rPr>
        <w:sz w:val="24"/>
      </w:rPr>
      <w:fldChar w:fldCharType="begin"/>
    </w:r>
    <w:r w:rsidRPr="00CF5770">
      <w:rPr>
        <w:sz w:val="24"/>
      </w:rPr>
      <w:instrText>PAGE   \* MERGEFORMAT</w:instrText>
    </w:r>
    <w:r w:rsidRPr="00CF5770">
      <w:rPr>
        <w:sz w:val="24"/>
      </w:rPr>
      <w:fldChar w:fldCharType="separate"/>
    </w:r>
    <w:r w:rsidR="0076040C" w:rsidRPr="0076040C">
      <w:rPr>
        <w:noProof/>
        <w:sz w:val="24"/>
        <w:lang w:val="zh-TW"/>
      </w:rPr>
      <w:t>1</w:t>
    </w:r>
    <w:r w:rsidRPr="00CF5770">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8EB83" w14:textId="77777777" w:rsidR="006E2798" w:rsidRDefault="006E2798" w:rsidP="00EB4B93">
      <w:r>
        <w:separator/>
      </w:r>
    </w:p>
  </w:footnote>
  <w:footnote w:type="continuationSeparator" w:id="0">
    <w:p w14:paraId="281AA7FC" w14:textId="77777777" w:rsidR="006E2798" w:rsidRDefault="006E2798" w:rsidP="00EB4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F2594"/>
    <w:multiLevelType w:val="singleLevel"/>
    <w:tmpl w:val="74EAA060"/>
    <w:lvl w:ilvl="0">
      <w:start w:val="1"/>
      <w:numFmt w:val="taiwaneseCountingThousand"/>
      <w:lvlText w:val="%1、"/>
      <w:lvlJc w:val="left"/>
      <w:pPr>
        <w:ind w:left="622" w:hanging="480"/>
      </w:pPr>
      <w:rPr>
        <w:rFonts w:hint="eastAsia"/>
        <w:b w:val="0"/>
        <w:color w:val="auto"/>
      </w:rPr>
    </w:lvl>
  </w:abstractNum>
  <w:abstractNum w:abstractNumId="1" w15:restartNumberingAfterBreak="0">
    <w:nsid w:val="4EB53889"/>
    <w:multiLevelType w:val="hybridMultilevel"/>
    <w:tmpl w:val="69B4B004"/>
    <w:lvl w:ilvl="0" w:tplc="4AFC103E">
      <w:start w:val="1"/>
      <w:numFmt w:val="decimal"/>
      <w:lvlText w:val="(%1)"/>
      <w:lvlJc w:val="left"/>
      <w:pPr>
        <w:ind w:left="1134" w:hanging="360"/>
      </w:pPr>
      <w:rPr>
        <w:rFonts w:hint="default"/>
      </w:rPr>
    </w:lvl>
    <w:lvl w:ilvl="1" w:tplc="04090019" w:tentative="1">
      <w:start w:val="1"/>
      <w:numFmt w:val="ideographTraditional"/>
      <w:lvlText w:val="%2、"/>
      <w:lvlJc w:val="left"/>
      <w:pPr>
        <w:ind w:left="1734" w:hanging="480"/>
      </w:pPr>
    </w:lvl>
    <w:lvl w:ilvl="2" w:tplc="0409001B" w:tentative="1">
      <w:start w:val="1"/>
      <w:numFmt w:val="lowerRoman"/>
      <w:lvlText w:val="%3."/>
      <w:lvlJc w:val="right"/>
      <w:pPr>
        <w:ind w:left="2214" w:hanging="480"/>
      </w:pPr>
    </w:lvl>
    <w:lvl w:ilvl="3" w:tplc="0409000F" w:tentative="1">
      <w:start w:val="1"/>
      <w:numFmt w:val="decimal"/>
      <w:lvlText w:val="%4."/>
      <w:lvlJc w:val="left"/>
      <w:pPr>
        <w:ind w:left="2694" w:hanging="480"/>
      </w:pPr>
    </w:lvl>
    <w:lvl w:ilvl="4" w:tplc="04090019" w:tentative="1">
      <w:start w:val="1"/>
      <w:numFmt w:val="ideographTraditional"/>
      <w:lvlText w:val="%5、"/>
      <w:lvlJc w:val="left"/>
      <w:pPr>
        <w:ind w:left="3174" w:hanging="480"/>
      </w:pPr>
    </w:lvl>
    <w:lvl w:ilvl="5" w:tplc="0409001B" w:tentative="1">
      <w:start w:val="1"/>
      <w:numFmt w:val="lowerRoman"/>
      <w:lvlText w:val="%6."/>
      <w:lvlJc w:val="right"/>
      <w:pPr>
        <w:ind w:left="3654" w:hanging="480"/>
      </w:pPr>
    </w:lvl>
    <w:lvl w:ilvl="6" w:tplc="0409000F" w:tentative="1">
      <w:start w:val="1"/>
      <w:numFmt w:val="decimal"/>
      <w:lvlText w:val="%7."/>
      <w:lvlJc w:val="left"/>
      <w:pPr>
        <w:ind w:left="4134" w:hanging="480"/>
      </w:pPr>
    </w:lvl>
    <w:lvl w:ilvl="7" w:tplc="04090019" w:tentative="1">
      <w:start w:val="1"/>
      <w:numFmt w:val="ideographTraditional"/>
      <w:lvlText w:val="%8、"/>
      <w:lvlJc w:val="left"/>
      <w:pPr>
        <w:ind w:left="4614" w:hanging="480"/>
      </w:pPr>
    </w:lvl>
    <w:lvl w:ilvl="8" w:tplc="0409001B" w:tentative="1">
      <w:start w:val="1"/>
      <w:numFmt w:val="lowerRoman"/>
      <w:lvlText w:val="%9."/>
      <w:lvlJc w:val="right"/>
      <w:pPr>
        <w:ind w:left="5094" w:hanging="480"/>
      </w:pPr>
    </w:lvl>
  </w:abstractNum>
  <w:abstractNum w:abstractNumId="2" w15:restartNumberingAfterBreak="0">
    <w:nsid w:val="51754868"/>
    <w:multiLevelType w:val="hybridMultilevel"/>
    <w:tmpl w:val="5874B59C"/>
    <w:lvl w:ilvl="0" w:tplc="3836F256">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54E75F0F"/>
    <w:multiLevelType w:val="hybridMultilevel"/>
    <w:tmpl w:val="FDA683EC"/>
    <w:lvl w:ilvl="0" w:tplc="74020C84">
      <w:start w:val="2"/>
      <w:numFmt w:val="taiwaneseCountingThousand"/>
      <w:lvlText w:val="(%1)"/>
      <w:lvlJc w:val="left"/>
      <w:pPr>
        <w:tabs>
          <w:tab w:val="num" w:pos="870"/>
        </w:tabs>
        <w:ind w:left="870" w:hanging="39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B57646"/>
    <w:multiLevelType w:val="singleLevel"/>
    <w:tmpl w:val="DE48340C"/>
    <w:lvl w:ilvl="0">
      <w:start w:val="1"/>
      <w:numFmt w:val="taiwaneseCountingThousand"/>
      <w:lvlText w:val="(%1)"/>
      <w:lvlJc w:val="left"/>
      <w:pPr>
        <w:tabs>
          <w:tab w:val="num" w:pos="870"/>
        </w:tabs>
        <w:ind w:left="870" w:hanging="390"/>
      </w:pPr>
      <w:rPr>
        <w:rFonts w:hint="eastAsia"/>
        <w:b w:val="0"/>
        <w:i w:val="0"/>
      </w:rPr>
    </w:lvl>
  </w:abstractNum>
  <w:abstractNum w:abstractNumId="5" w15:restartNumberingAfterBreak="0">
    <w:nsid w:val="70E37DB4"/>
    <w:multiLevelType w:val="hybridMultilevel"/>
    <w:tmpl w:val="9D123030"/>
    <w:lvl w:ilvl="0" w:tplc="4C327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0MzK2MDQ1MzIwNzVT0lEKTi0uzszPAykwrAUALqS1ECwAAAA="/>
  </w:docVars>
  <w:rsids>
    <w:rsidRoot w:val="00385898"/>
    <w:rsid w:val="000444CE"/>
    <w:rsid w:val="0005662C"/>
    <w:rsid w:val="00063323"/>
    <w:rsid w:val="001956AB"/>
    <w:rsid w:val="001C4EEE"/>
    <w:rsid w:val="001F363F"/>
    <w:rsid w:val="002717A5"/>
    <w:rsid w:val="00273570"/>
    <w:rsid w:val="002E0498"/>
    <w:rsid w:val="002F3E63"/>
    <w:rsid w:val="00372781"/>
    <w:rsid w:val="00385898"/>
    <w:rsid w:val="003F6A05"/>
    <w:rsid w:val="004E72AA"/>
    <w:rsid w:val="00500B9F"/>
    <w:rsid w:val="005567AD"/>
    <w:rsid w:val="0057397F"/>
    <w:rsid w:val="0058350E"/>
    <w:rsid w:val="00597802"/>
    <w:rsid w:val="005C171D"/>
    <w:rsid w:val="00697D87"/>
    <w:rsid w:val="006E2798"/>
    <w:rsid w:val="006F7AE3"/>
    <w:rsid w:val="0070653A"/>
    <w:rsid w:val="0076040C"/>
    <w:rsid w:val="007A7B2B"/>
    <w:rsid w:val="007B42BE"/>
    <w:rsid w:val="007C1D47"/>
    <w:rsid w:val="00824595"/>
    <w:rsid w:val="00843B00"/>
    <w:rsid w:val="008C0E0B"/>
    <w:rsid w:val="008C5FDA"/>
    <w:rsid w:val="008D406A"/>
    <w:rsid w:val="009904A4"/>
    <w:rsid w:val="00A109BA"/>
    <w:rsid w:val="00A13E10"/>
    <w:rsid w:val="00A360BA"/>
    <w:rsid w:val="00A6349F"/>
    <w:rsid w:val="00AA36FF"/>
    <w:rsid w:val="00AB1697"/>
    <w:rsid w:val="00B11775"/>
    <w:rsid w:val="00B142C3"/>
    <w:rsid w:val="00B647FE"/>
    <w:rsid w:val="00B930C9"/>
    <w:rsid w:val="00BB6917"/>
    <w:rsid w:val="00C037C8"/>
    <w:rsid w:val="00C46164"/>
    <w:rsid w:val="00CF440F"/>
    <w:rsid w:val="00CF5770"/>
    <w:rsid w:val="00D849B8"/>
    <w:rsid w:val="00D96817"/>
    <w:rsid w:val="00DA3A8A"/>
    <w:rsid w:val="00DA686C"/>
    <w:rsid w:val="00EA3D09"/>
    <w:rsid w:val="00EA5FC5"/>
    <w:rsid w:val="00EB4B93"/>
    <w:rsid w:val="00EE4129"/>
    <w:rsid w:val="00F106FD"/>
    <w:rsid w:val="00F9588B"/>
    <w:rsid w:val="00FE79A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B7419"/>
  <w15:docId w15:val="{619AC9D0-BE40-436A-B774-7E8190B5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89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4B93"/>
    <w:pPr>
      <w:tabs>
        <w:tab w:val="center" w:pos="4153"/>
        <w:tab w:val="right" w:pos="8306"/>
      </w:tabs>
      <w:snapToGrid w:val="0"/>
    </w:pPr>
    <w:rPr>
      <w:sz w:val="20"/>
    </w:rPr>
  </w:style>
  <w:style w:type="character" w:customStyle="1" w:styleId="a4">
    <w:name w:val="頁首 字元"/>
    <w:basedOn w:val="a0"/>
    <w:link w:val="a3"/>
    <w:uiPriority w:val="99"/>
    <w:rsid w:val="00EB4B93"/>
    <w:rPr>
      <w:rFonts w:ascii="Times New Roman" w:eastAsia="新細明體" w:hAnsi="Times New Roman" w:cs="Times New Roman"/>
      <w:sz w:val="20"/>
      <w:szCs w:val="20"/>
    </w:rPr>
  </w:style>
  <w:style w:type="paragraph" w:styleId="a5">
    <w:name w:val="footer"/>
    <w:basedOn w:val="a"/>
    <w:link w:val="a6"/>
    <w:uiPriority w:val="99"/>
    <w:unhideWhenUsed/>
    <w:rsid w:val="00EB4B93"/>
    <w:pPr>
      <w:tabs>
        <w:tab w:val="center" w:pos="4153"/>
        <w:tab w:val="right" w:pos="8306"/>
      </w:tabs>
      <w:snapToGrid w:val="0"/>
    </w:pPr>
    <w:rPr>
      <w:sz w:val="20"/>
    </w:rPr>
  </w:style>
  <w:style w:type="character" w:customStyle="1" w:styleId="a6">
    <w:name w:val="頁尾 字元"/>
    <w:basedOn w:val="a0"/>
    <w:link w:val="a5"/>
    <w:uiPriority w:val="99"/>
    <w:rsid w:val="00EB4B93"/>
    <w:rPr>
      <w:rFonts w:ascii="Times New Roman" w:eastAsia="新細明體" w:hAnsi="Times New Roman" w:cs="Times New Roman"/>
      <w:sz w:val="20"/>
      <w:szCs w:val="20"/>
    </w:rPr>
  </w:style>
  <w:style w:type="paragraph" w:styleId="a7">
    <w:name w:val="List Paragraph"/>
    <w:basedOn w:val="a"/>
    <w:uiPriority w:val="34"/>
    <w:qFormat/>
    <w:rsid w:val="001956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4392</Characters>
  <Application>Microsoft Office Word</Application>
  <DocSecurity>0</DocSecurity>
  <Lines>36</Lines>
  <Paragraphs>10</Paragraphs>
  <ScaleCrop>false</ScaleCrop>
  <Company>淡江大學 Tamkang University</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Hewlett-Packard Company</cp:lastModifiedBy>
  <cp:revision>2</cp:revision>
  <cp:lastPrinted>2017-11-08T09:21:00Z</cp:lastPrinted>
  <dcterms:created xsi:type="dcterms:W3CDTF">2024-01-26T03:31:00Z</dcterms:created>
  <dcterms:modified xsi:type="dcterms:W3CDTF">2024-01-26T03:31:00Z</dcterms:modified>
</cp:coreProperties>
</file>