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7D15" w14:textId="6DB93245" w:rsidR="00264317" w:rsidRPr="00BE5153" w:rsidRDefault="00264317" w:rsidP="00F65A62">
      <w:pPr>
        <w:pStyle w:val="1"/>
        <w:spacing w:line="340" w:lineRule="exact"/>
        <w:ind w:left="0"/>
        <w:jc w:val="center"/>
        <w:rPr>
          <w:rFonts w:ascii="Times New Roman" w:eastAsia="標楷體" w:hAnsi="Times New Roman" w:cs="Times New Roman"/>
          <w:color w:val="FF0000"/>
          <w:u w:val="single"/>
        </w:rPr>
      </w:pPr>
      <w:r w:rsidRPr="00BE5153">
        <w:rPr>
          <w:rFonts w:ascii="Times New Roman" w:eastAsia="標楷體" w:hAnsi="Times New Roman" w:cs="Arial"/>
          <w:color w:val="000000" w:themeColor="text1"/>
        </w:rPr>
        <w:t>Domestic Travel Subsidy Standards for Faculty and Staff</w:t>
      </w:r>
    </w:p>
    <w:p w14:paraId="6E961C88" w14:textId="77777777" w:rsidR="00E26BA5" w:rsidRPr="00BE5153" w:rsidRDefault="00E26BA5">
      <w:pPr>
        <w:pStyle w:val="a3"/>
        <w:spacing w:before="4"/>
        <w:ind w:left="0"/>
        <w:rPr>
          <w:rFonts w:eastAsia="標楷體"/>
          <w:b/>
          <w:sz w:val="17"/>
        </w:rPr>
      </w:pPr>
    </w:p>
    <w:p w14:paraId="721ECEDA" w14:textId="77777777"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1996.03.14 Revised and passed in the 7th Administrative Meeting of the 84th academic year</w:t>
      </w:r>
    </w:p>
    <w:p w14:paraId="22F27230" w14:textId="74CA811E"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1996.04.10  Revised and passed in the 9th Meeting of Legal Affairs Committee of the 84th academic year</w:t>
      </w:r>
    </w:p>
    <w:p w14:paraId="4A1371FB" w14:textId="17C84613"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1996.04.19 Promulgated in the (85)GaoYiFaZi No. 031 Letter and implemented on May 1, 1996</w:t>
      </w:r>
    </w:p>
    <w:p w14:paraId="67087C27" w14:textId="79350936"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 xml:space="preserve">2000.01.27 Passed in the 6th Joint Conference of </w:t>
      </w:r>
      <w:r w:rsidR="00955B69" w:rsidRPr="00BE5153">
        <w:rPr>
          <w:rFonts w:ascii="Times New Roman" w:eastAsia="標楷體" w:hAnsi="Times New Roman" w:cs="Arial"/>
          <w:sz w:val="16"/>
          <w:szCs w:val="16"/>
        </w:rPr>
        <w:t>College</w:t>
      </w:r>
      <w:r w:rsidRPr="00BE5153">
        <w:rPr>
          <w:rFonts w:ascii="Times New Roman" w:eastAsia="標楷體" w:hAnsi="Times New Roman" w:cs="Arial"/>
          <w:sz w:val="16"/>
          <w:szCs w:val="16"/>
        </w:rPr>
        <w:t xml:space="preserve"> Affairs, Medical Affairs, and General Affairs of the 88 academic year</w:t>
      </w:r>
    </w:p>
    <w:p w14:paraId="4B8FD96E" w14:textId="02AF534F"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2000.05.04 Passed in the 10th Meeting of Legal Affairs Committee of the 88th academic year</w:t>
      </w:r>
    </w:p>
    <w:p w14:paraId="68953510" w14:textId="1B1BA663"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 xml:space="preserve">2000.06.08 Passed in the 11th Administrative Meeting of the </w:t>
      </w:r>
      <w:r w:rsidR="00955B69" w:rsidRPr="00BE5153">
        <w:rPr>
          <w:rFonts w:ascii="Times New Roman" w:eastAsia="標楷體" w:hAnsi="Times New Roman" w:cs="Arial"/>
          <w:sz w:val="16"/>
          <w:szCs w:val="16"/>
        </w:rPr>
        <w:t>8</w:t>
      </w:r>
      <w:r w:rsidRPr="00BE5153">
        <w:rPr>
          <w:rFonts w:ascii="Times New Roman" w:eastAsia="標楷體" w:hAnsi="Times New Roman" w:cs="Arial"/>
          <w:sz w:val="16"/>
          <w:szCs w:val="16"/>
        </w:rPr>
        <w:t>8th academic year</w:t>
      </w:r>
    </w:p>
    <w:p w14:paraId="3F219A6D" w14:textId="4C05BF5D"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 xml:space="preserve">2000.07.10 Promulgated in the (89)GaoYiXiaoFa(I)Zi No. 018 Letter and implemented on </w:t>
      </w:r>
      <w:r w:rsidR="00137EB9" w:rsidRPr="00BE5153">
        <w:rPr>
          <w:rFonts w:ascii="Times New Roman" w:eastAsia="標楷體" w:hAnsi="Times New Roman" w:cs="Arial"/>
          <w:sz w:val="16"/>
          <w:szCs w:val="16"/>
        </w:rPr>
        <w:t>August</w:t>
      </w:r>
      <w:r w:rsidRPr="00BE5153">
        <w:rPr>
          <w:rFonts w:ascii="Times New Roman" w:eastAsia="標楷體" w:hAnsi="Times New Roman" w:cs="Arial"/>
          <w:sz w:val="16"/>
          <w:szCs w:val="16"/>
        </w:rPr>
        <w:t xml:space="preserve"> 1, 2000</w:t>
      </w:r>
    </w:p>
    <w:p w14:paraId="072E2BDB" w14:textId="138B352B"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2002.08.29 Revised and passed in the 1st Administrative Meeting of the 91st academic year</w:t>
      </w:r>
    </w:p>
    <w:p w14:paraId="11552563" w14:textId="5E83790D"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2002.10.02 Promulgated in the GaoYiRenZi No. 2036 Letter</w:t>
      </w:r>
    </w:p>
    <w:p w14:paraId="0A87FC9E" w14:textId="74C7DE08"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2007.04.12 Passed in the 3rd University Council and 9th Administrative Joint Meeting of the 95th academic year</w:t>
      </w:r>
    </w:p>
    <w:p w14:paraId="1DF2EEF9" w14:textId="329DD1D7"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2007.04.24 Announced in the GaoYiRenZi No. 0960003516 Letter</w:t>
      </w:r>
    </w:p>
    <w:p w14:paraId="0BC69B6E" w14:textId="6B880589"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2012.10.18 Passed in the 3rd Administrative Meeting of the 101st academic year</w:t>
      </w:r>
    </w:p>
    <w:p w14:paraId="5D457DB0" w14:textId="5C495034"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2012.11.08 Announced in the GaoYiRenZi No. 1011103134 Letter</w:t>
      </w:r>
    </w:p>
    <w:p w14:paraId="4DF3A1A7" w14:textId="0396C96A"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2013.09.12 Passed in the 1st Administrative Meeting of the 102nd academic year</w:t>
      </w:r>
    </w:p>
    <w:p w14:paraId="168D5FE8" w14:textId="4AB997E9"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2013.10.30 Announced in the GaoYiRenZi No. 1021103351 Letter</w:t>
      </w:r>
    </w:p>
    <w:p w14:paraId="48A511C3" w14:textId="4D05AC85"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2015.11.27 Passed in the 4th Administrative Meeting of the 104th academic year</w:t>
      </w:r>
    </w:p>
    <w:p w14:paraId="7FA72E71" w14:textId="6DB85337" w:rsidR="00E26BA5" w:rsidRPr="00BE5153" w:rsidRDefault="00841B9B">
      <w:pPr>
        <w:spacing w:line="160" w:lineRule="exact"/>
        <w:jc w:val="right"/>
        <w:rPr>
          <w:rFonts w:ascii="Times New Roman" w:eastAsia="標楷體" w:hAnsi="Times New Roman" w:cs="Arial"/>
          <w:sz w:val="16"/>
          <w:szCs w:val="16"/>
        </w:rPr>
      </w:pPr>
      <w:r w:rsidRPr="00BE5153">
        <w:rPr>
          <w:rFonts w:ascii="Times New Roman" w:eastAsia="標楷體" w:hAnsi="Times New Roman" w:cs="Arial"/>
          <w:sz w:val="16"/>
          <w:szCs w:val="16"/>
        </w:rPr>
        <w:t>2015.12.18 Announced in the GaoYiRenZi No. 1041104159 Letter</w:t>
      </w:r>
    </w:p>
    <w:tbl>
      <w:tblPr>
        <w:tblStyle w:val="TableNormal"/>
        <w:tblW w:w="0" w:type="auto"/>
        <w:tblInd w:w="152" w:type="dxa"/>
        <w:tblLayout w:type="fixed"/>
        <w:tblLook w:val="04A0" w:firstRow="1" w:lastRow="0" w:firstColumn="1" w:lastColumn="0" w:noHBand="0" w:noVBand="1"/>
      </w:tblPr>
      <w:tblGrid>
        <w:gridCol w:w="1172"/>
        <w:gridCol w:w="8179"/>
      </w:tblGrid>
      <w:tr w:rsidR="00E26BA5" w:rsidRPr="00BE5153" w14:paraId="4859949C" w14:textId="77777777" w:rsidTr="005D7D62">
        <w:trPr>
          <w:trHeight w:val="380"/>
        </w:trPr>
        <w:tc>
          <w:tcPr>
            <w:tcW w:w="1172" w:type="dxa"/>
          </w:tcPr>
          <w:p w14:paraId="2C0B5B5D" w14:textId="59C40959" w:rsidR="00E26BA5" w:rsidRPr="00BE5153" w:rsidRDefault="00841B9B" w:rsidP="00E65D21">
            <w:pPr>
              <w:pStyle w:val="TableParagraph"/>
              <w:spacing w:line="440" w:lineRule="exact"/>
              <w:ind w:right="127"/>
              <w:jc w:val="right"/>
              <w:rPr>
                <w:rFonts w:ascii="Times New Roman" w:eastAsia="標楷體" w:hAnsi="Times New Roman" w:cs="Times New Roman"/>
                <w:sz w:val="28"/>
              </w:rPr>
            </w:pPr>
            <w:r w:rsidRPr="00BE5153">
              <w:rPr>
                <w:rFonts w:ascii="Times New Roman" w:eastAsia="標楷體" w:hAnsi="Times New Roman" w:cs="Arial"/>
                <w:sz w:val="28"/>
              </w:rPr>
              <w:br/>
              <w:t>Article 1</w:t>
            </w:r>
          </w:p>
        </w:tc>
        <w:tc>
          <w:tcPr>
            <w:tcW w:w="8179" w:type="dxa"/>
          </w:tcPr>
          <w:p w14:paraId="4ABCCEE2" w14:textId="535D4A35" w:rsidR="00E26BA5" w:rsidRPr="00BE5153" w:rsidRDefault="00841B9B" w:rsidP="00E65D21">
            <w:pPr>
              <w:pStyle w:val="TableParagraph"/>
              <w:spacing w:line="440" w:lineRule="exact"/>
              <w:ind w:left="129"/>
              <w:rPr>
                <w:rFonts w:ascii="Times New Roman" w:eastAsia="標楷體" w:hAnsi="Times New Roman" w:cs="Times New Roman"/>
                <w:sz w:val="28"/>
              </w:rPr>
            </w:pPr>
            <w:bookmarkStart w:id="0" w:name="_GoBack"/>
            <w:bookmarkEnd w:id="0"/>
            <w:r w:rsidRPr="00BE5153">
              <w:rPr>
                <w:rFonts w:ascii="Times New Roman" w:eastAsia="標楷體" w:hAnsi="Times New Roman" w:cs="Arial"/>
                <w:sz w:val="28"/>
              </w:rPr>
              <w:br/>
              <w:t>Meal and miscellaneous fees and accommodation expenses: shall be handled in accordance with the standards specified in the annex.</w:t>
            </w:r>
          </w:p>
        </w:tc>
      </w:tr>
      <w:tr w:rsidR="00F11688" w:rsidRPr="00BE5153" w14:paraId="3277DA0F" w14:textId="77777777" w:rsidTr="005D7D62">
        <w:trPr>
          <w:trHeight w:val="380"/>
        </w:trPr>
        <w:tc>
          <w:tcPr>
            <w:tcW w:w="1172" w:type="dxa"/>
          </w:tcPr>
          <w:p w14:paraId="6E1E22BE" w14:textId="50A79085" w:rsidR="00F11688" w:rsidRPr="00BE5153" w:rsidRDefault="00F11688" w:rsidP="00E65D21">
            <w:pPr>
              <w:pStyle w:val="TableParagraph"/>
              <w:spacing w:line="440" w:lineRule="exact"/>
              <w:ind w:right="127"/>
              <w:jc w:val="right"/>
              <w:rPr>
                <w:rFonts w:ascii="Times New Roman" w:eastAsia="標楷體" w:hAnsi="Times New Roman" w:cs="Times New Roman"/>
                <w:sz w:val="28"/>
              </w:rPr>
            </w:pPr>
            <w:r w:rsidRPr="00BE5153">
              <w:rPr>
                <w:rFonts w:ascii="Times New Roman" w:eastAsia="標楷體" w:hAnsi="Times New Roman" w:cs="Arial"/>
                <w:sz w:val="28"/>
              </w:rPr>
              <w:br/>
              <w:t>Article 2</w:t>
            </w:r>
          </w:p>
        </w:tc>
        <w:tc>
          <w:tcPr>
            <w:tcW w:w="8179" w:type="dxa"/>
          </w:tcPr>
          <w:p w14:paraId="52CA704F" w14:textId="47601B74" w:rsidR="00F11688" w:rsidRPr="00BE5153" w:rsidRDefault="00F11688" w:rsidP="00E65D21">
            <w:pPr>
              <w:pStyle w:val="TableParagraph"/>
              <w:spacing w:line="440" w:lineRule="exact"/>
              <w:ind w:left="129"/>
              <w:rPr>
                <w:rFonts w:ascii="Times New Roman" w:eastAsia="標楷體" w:hAnsi="Times New Roman" w:cs="Times New Roman"/>
                <w:sz w:val="28"/>
              </w:rPr>
            </w:pPr>
            <w:r w:rsidRPr="00BE5153">
              <w:rPr>
                <w:rFonts w:ascii="Times New Roman" w:eastAsia="標楷體" w:hAnsi="Times New Roman" w:cs="Arial"/>
                <w:sz w:val="28"/>
              </w:rPr>
              <w:br/>
              <w:t>Transportation expenses:</w:t>
            </w:r>
          </w:p>
          <w:p w14:paraId="1D863D84" w14:textId="140F3F79" w:rsidR="00F11688" w:rsidRPr="00F65A62" w:rsidRDefault="00F11688" w:rsidP="00F65A62">
            <w:pPr>
              <w:pStyle w:val="TableParagraph"/>
              <w:spacing w:line="440" w:lineRule="exact"/>
              <w:ind w:leftChars="170" w:left="800" w:hangingChars="152" w:hanging="426"/>
              <w:rPr>
                <w:rFonts w:ascii="Times New Roman" w:eastAsia="標楷體" w:hAnsi="Times New Roman" w:cs="Times New Roman"/>
                <w:spacing w:val="-1"/>
                <w:sz w:val="28"/>
              </w:rPr>
            </w:pPr>
            <w:r w:rsidRPr="00BE5153">
              <w:rPr>
                <w:rFonts w:ascii="Times New Roman" w:eastAsia="標楷體" w:hAnsi="Times New Roman" w:cs="Arial"/>
                <w:sz w:val="28"/>
              </w:rPr>
              <w:t>1. One-day business trip: Choose one of the two subsidy methods as follows:</w:t>
            </w:r>
          </w:p>
          <w:p w14:paraId="41F2AF25" w14:textId="77777777" w:rsidR="00F11688" w:rsidRPr="00BE5153" w:rsidRDefault="00F11688" w:rsidP="00E65D21">
            <w:pPr>
              <w:pStyle w:val="TableParagraph"/>
              <w:spacing w:line="440" w:lineRule="exact"/>
              <w:ind w:leftChars="298" w:left="1082" w:right="549" w:hangingChars="152" w:hanging="426"/>
              <w:jc w:val="both"/>
              <w:rPr>
                <w:rFonts w:ascii="Times New Roman" w:eastAsia="標楷體" w:hAnsi="Times New Roman" w:cs="Times New Roman"/>
                <w:sz w:val="28"/>
              </w:rPr>
            </w:pPr>
            <w:r w:rsidRPr="00BE5153">
              <w:rPr>
                <w:rFonts w:ascii="Times New Roman" w:eastAsia="標楷體" w:hAnsi="Times New Roman" w:cs="Arial"/>
                <w:sz w:val="28"/>
              </w:rPr>
              <w:t>(1) Those who apply for transportation subsidy based on the fare standard of Tze-Chiang Limited Express may apply for accommodation subsidy.</w:t>
            </w:r>
          </w:p>
          <w:p w14:paraId="1B651CD3" w14:textId="77777777" w:rsidR="00F65A62" w:rsidRDefault="00F65A62" w:rsidP="00F65A62">
            <w:pPr>
              <w:pStyle w:val="TableParagraph"/>
              <w:spacing w:line="440" w:lineRule="exact"/>
              <w:ind w:leftChars="180" w:left="396" w:right="549"/>
              <w:jc w:val="both"/>
              <w:rPr>
                <w:rFonts w:ascii="Times New Roman" w:eastAsia="標楷體" w:hAnsi="Times New Roman" w:cs="Arial"/>
                <w:sz w:val="28"/>
              </w:rPr>
            </w:pPr>
            <w:r w:rsidRPr="00BE5153">
              <w:rPr>
                <w:rFonts w:ascii="Times New Roman" w:eastAsia="標楷體" w:hAnsi="Times New Roman" w:cs="Arial"/>
                <w:sz w:val="28"/>
              </w:rPr>
              <w:t xml:space="preserve"> </w:t>
            </w:r>
            <w:r>
              <w:rPr>
                <w:rFonts w:ascii="Times New Roman" w:eastAsia="標楷體" w:hAnsi="Times New Roman" w:cs="Arial" w:hint="eastAsia"/>
                <w:sz w:val="28"/>
              </w:rPr>
              <w:t xml:space="preserve">  </w:t>
            </w:r>
            <w:r w:rsidR="00F11688" w:rsidRPr="00BE5153">
              <w:rPr>
                <w:rFonts w:ascii="Times New Roman" w:eastAsia="標楷體" w:hAnsi="Times New Roman" w:cs="Arial"/>
                <w:sz w:val="28"/>
              </w:rPr>
              <w:t xml:space="preserve">(2) Those who apply for transportation subsidies based on the </w:t>
            </w:r>
            <w:r>
              <w:rPr>
                <w:rFonts w:ascii="Times New Roman" w:eastAsia="標楷體" w:hAnsi="Times New Roman" w:cs="Arial" w:hint="eastAsia"/>
                <w:sz w:val="28"/>
              </w:rPr>
              <w:t xml:space="preserve"> </w:t>
            </w:r>
          </w:p>
          <w:p w14:paraId="42FDF383" w14:textId="77777777" w:rsidR="00F65A62" w:rsidRDefault="00F65A62" w:rsidP="00F65A62">
            <w:pPr>
              <w:pStyle w:val="TableParagraph"/>
              <w:spacing w:line="440" w:lineRule="exact"/>
              <w:ind w:leftChars="180" w:left="396" w:right="549"/>
              <w:jc w:val="both"/>
              <w:rPr>
                <w:rFonts w:ascii="Times New Roman" w:eastAsia="標楷體" w:hAnsi="Times New Roman" w:cs="Arial"/>
                <w:sz w:val="28"/>
              </w:rPr>
            </w:pPr>
            <w:r>
              <w:rPr>
                <w:rFonts w:ascii="Times New Roman" w:eastAsia="標楷體" w:hAnsi="Times New Roman" w:cs="Arial" w:hint="eastAsia"/>
                <w:sz w:val="28"/>
              </w:rPr>
              <w:t xml:space="preserve">         </w:t>
            </w:r>
            <w:r w:rsidR="00F11688" w:rsidRPr="00BE5153">
              <w:rPr>
                <w:rFonts w:ascii="Times New Roman" w:eastAsia="標楷體" w:hAnsi="Times New Roman" w:cs="Arial"/>
                <w:sz w:val="28"/>
              </w:rPr>
              <w:t xml:space="preserve">fare standard of air tickets or high-speed rail tickets are not </w:t>
            </w:r>
            <w:r>
              <w:rPr>
                <w:rFonts w:ascii="Times New Roman" w:eastAsia="標楷體" w:hAnsi="Times New Roman" w:cs="Arial" w:hint="eastAsia"/>
                <w:sz w:val="28"/>
              </w:rPr>
              <w:t xml:space="preserve">     </w:t>
            </w:r>
          </w:p>
          <w:p w14:paraId="1BA782B0" w14:textId="77777777" w:rsidR="00F11688" w:rsidRDefault="00F65A62" w:rsidP="00F65A62">
            <w:pPr>
              <w:pStyle w:val="TableParagraph"/>
              <w:spacing w:line="440" w:lineRule="exact"/>
              <w:ind w:leftChars="180" w:left="396" w:right="549"/>
              <w:jc w:val="both"/>
              <w:rPr>
                <w:rFonts w:ascii="Times New Roman" w:eastAsia="標楷體" w:hAnsi="Times New Roman" w:cs="Arial"/>
                <w:sz w:val="28"/>
              </w:rPr>
            </w:pPr>
            <w:r>
              <w:rPr>
                <w:rFonts w:ascii="Times New Roman" w:eastAsia="標楷體" w:hAnsi="Times New Roman" w:cs="Arial" w:hint="eastAsia"/>
                <w:sz w:val="28"/>
              </w:rPr>
              <w:t xml:space="preserve">         </w:t>
            </w:r>
            <w:r w:rsidR="00F11688" w:rsidRPr="00BE5153">
              <w:rPr>
                <w:rFonts w:ascii="Times New Roman" w:eastAsia="標楷體" w:hAnsi="Times New Roman" w:cs="Arial"/>
                <w:sz w:val="28"/>
              </w:rPr>
              <w:t>allowed to apply for accommodation subsidies.</w:t>
            </w:r>
          </w:p>
          <w:p w14:paraId="044D56A2" w14:textId="77777777" w:rsidR="009D5685" w:rsidRPr="00BE5153" w:rsidRDefault="009D5685" w:rsidP="009D5685">
            <w:pPr>
              <w:pStyle w:val="TableParagraph"/>
              <w:spacing w:line="440" w:lineRule="exact"/>
              <w:ind w:leftChars="170" w:left="800" w:hangingChars="152" w:hanging="426"/>
              <w:rPr>
                <w:rFonts w:ascii="Times New Roman" w:eastAsia="標楷體" w:hAnsi="Times New Roman" w:cs="Arial"/>
                <w:sz w:val="28"/>
                <w:u w:val="single"/>
              </w:rPr>
            </w:pPr>
            <w:r w:rsidRPr="00BE5153">
              <w:rPr>
                <w:rFonts w:ascii="Times New Roman" w:eastAsia="標楷體" w:hAnsi="Times New Roman" w:cs="Arial"/>
                <w:sz w:val="28"/>
              </w:rPr>
              <w:t xml:space="preserve">2. For those who apply for the subsidy for air tickets or high-speed rail tickets, the application shall be based on the face value of economy class or standard class tickets. The President and Senior Vice Presidents may apply for the subsidy for business class fares, and they </w:t>
            </w:r>
            <w:r w:rsidRPr="00BE5153">
              <w:rPr>
                <w:rFonts w:ascii="Times New Roman" w:eastAsia="標楷體" w:hAnsi="Times New Roman" w:cs="Arial"/>
                <w:sz w:val="28"/>
                <w:u w:val="single"/>
              </w:rPr>
              <w:t>shall attach the ticket stub or proof of ticket purchase. Those taking the flight shall submit proof of boarding to verify the relevant fees.</w:t>
            </w:r>
          </w:p>
          <w:p w14:paraId="1527C9DD" w14:textId="066EBF8A" w:rsidR="009D5685" w:rsidRPr="009D5685" w:rsidRDefault="009D5685" w:rsidP="00F65A62">
            <w:pPr>
              <w:pStyle w:val="TableParagraph"/>
              <w:spacing w:line="440" w:lineRule="exact"/>
              <w:ind w:leftChars="180" w:left="396" w:right="549"/>
              <w:jc w:val="both"/>
              <w:rPr>
                <w:rFonts w:ascii="Times New Roman" w:eastAsia="標楷體" w:hAnsi="Times New Roman" w:cs="Times New Roman"/>
                <w:spacing w:val="-1"/>
                <w:sz w:val="28"/>
              </w:rPr>
            </w:pPr>
          </w:p>
        </w:tc>
      </w:tr>
      <w:tr w:rsidR="00E26BA5" w:rsidRPr="00BE5153" w14:paraId="40A4D7B6" w14:textId="77777777" w:rsidTr="005D7D62">
        <w:trPr>
          <w:trHeight w:val="7580"/>
        </w:trPr>
        <w:tc>
          <w:tcPr>
            <w:tcW w:w="1172" w:type="dxa"/>
          </w:tcPr>
          <w:p w14:paraId="2FA6FCB7" w14:textId="31181D22" w:rsidR="006D5EA1" w:rsidRPr="006D5EA1" w:rsidRDefault="006D5EA1" w:rsidP="006D5EA1">
            <w:pPr>
              <w:pStyle w:val="TableParagraph"/>
              <w:spacing w:line="440" w:lineRule="exact"/>
              <w:ind w:right="1247"/>
              <w:jc w:val="both"/>
              <w:rPr>
                <w:rFonts w:ascii="Times New Roman" w:eastAsia="標楷體" w:hAnsi="Times New Roman" w:cs="Times New Roman"/>
                <w:sz w:val="28"/>
              </w:rPr>
            </w:pPr>
          </w:p>
        </w:tc>
        <w:tc>
          <w:tcPr>
            <w:tcW w:w="8179" w:type="dxa"/>
          </w:tcPr>
          <w:p w14:paraId="14518288" w14:textId="5D2E034E" w:rsidR="00E26BA5" w:rsidRPr="00BE5153" w:rsidRDefault="00841B9B" w:rsidP="00E65D21">
            <w:pPr>
              <w:pStyle w:val="TableParagraph"/>
              <w:spacing w:line="440" w:lineRule="exact"/>
              <w:ind w:leftChars="170" w:left="800" w:hangingChars="152" w:hanging="426"/>
              <w:rPr>
                <w:rFonts w:ascii="Times New Roman" w:eastAsia="標楷體" w:hAnsi="Times New Roman" w:cs="Arial"/>
                <w:sz w:val="28"/>
              </w:rPr>
            </w:pPr>
            <w:r w:rsidRPr="00BE5153">
              <w:rPr>
                <w:rFonts w:ascii="Times New Roman" w:eastAsia="標楷體" w:hAnsi="Times New Roman" w:cs="Arial"/>
                <w:sz w:val="28"/>
              </w:rPr>
              <w:t>3. Regulations on transportation subsidies for round-trip transportation and business trips:</w:t>
            </w:r>
          </w:p>
          <w:p w14:paraId="16094F7C" w14:textId="6D6004CC" w:rsidR="00E26BA5" w:rsidRPr="00BE5153" w:rsidRDefault="00361FAD" w:rsidP="00E65D21">
            <w:pPr>
              <w:pStyle w:val="TableParagraph"/>
              <w:spacing w:line="440" w:lineRule="exact"/>
              <w:ind w:leftChars="298" w:left="1082" w:right="549" w:hangingChars="152" w:hanging="426"/>
              <w:jc w:val="both"/>
              <w:rPr>
                <w:rFonts w:ascii="Times New Roman" w:eastAsia="標楷體" w:hAnsi="Times New Roman" w:cs="Arial"/>
                <w:sz w:val="28"/>
              </w:rPr>
            </w:pPr>
            <w:r w:rsidRPr="00BE5153">
              <w:rPr>
                <w:rFonts w:ascii="Times New Roman" w:eastAsia="標楷體" w:hAnsi="Times New Roman" w:cs="Arial"/>
                <w:sz w:val="28"/>
              </w:rPr>
              <w:t xml:space="preserve"> </w:t>
            </w:r>
            <w:r w:rsidR="00841B9B" w:rsidRPr="00BE5153">
              <w:rPr>
                <w:rFonts w:ascii="Times New Roman" w:eastAsia="標楷體" w:hAnsi="Times New Roman" w:cs="Arial"/>
                <w:sz w:val="28"/>
              </w:rPr>
              <w:t>(1) Public transportation expenses: Please use public transportation for business trips to save travel costs.</w:t>
            </w:r>
          </w:p>
          <w:p w14:paraId="4EFEF508" w14:textId="77777777" w:rsidR="00E26BA5" w:rsidRDefault="00361FAD" w:rsidP="00E65D21">
            <w:pPr>
              <w:pStyle w:val="TableParagraph"/>
              <w:spacing w:line="440" w:lineRule="exact"/>
              <w:ind w:leftChars="298" w:left="1082" w:right="549" w:hangingChars="152" w:hanging="426"/>
              <w:rPr>
                <w:rFonts w:ascii="Times New Roman" w:eastAsia="標楷體" w:hAnsi="Times New Roman" w:cs="Arial"/>
                <w:sz w:val="28"/>
                <w:u w:val="single"/>
              </w:rPr>
            </w:pPr>
            <w:r w:rsidRPr="00BE5153">
              <w:rPr>
                <w:rFonts w:ascii="Times New Roman" w:eastAsia="標楷體" w:hAnsi="Times New Roman" w:cs="Arial"/>
                <w:sz w:val="28"/>
              </w:rPr>
              <w:t xml:space="preserve"> </w:t>
            </w:r>
            <w:r w:rsidR="00841B9B" w:rsidRPr="00BE5153">
              <w:rPr>
                <w:rFonts w:ascii="Times New Roman" w:eastAsia="標楷體" w:hAnsi="Times New Roman" w:cs="Arial"/>
                <w:sz w:val="28"/>
              </w:rPr>
              <w:t>(2)</w:t>
            </w:r>
            <w:r w:rsidR="00955B69" w:rsidRPr="00BE5153">
              <w:rPr>
                <w:rFonts w:ascii="Times New Roman" w:eastAsia="標楷體" w:hAnsi="Times New Roman" w:cs="Arial"/>
                <w:sz w:val="28"/>
              </w:rPr>
              <w:t xml:space="preserve"> </w:t>
            </w:r>
            <w:r w:rsidR="00841B9B" w:rsidRPr="00BE5153">
              <w:rPr>
                <w:rFonts w:ascii="Times New Roman" w:eastAsia="標楷體" w:hAnsi="Times New Roman" w:cs="Arial"/>
                <w:sz w:val="28"/>
                <w:u w:val="single"/>
              </w:rPr>
              <w:t xml:space="preserve">Self-use automobile (motor) vehicle: The transportation fee shall be subsidized according to the fare of the highest grade </w:t>
            </w:r>
            <w:r w:rsidR="00955B69" w:rsidRPr="00BE5153">
              <w:rPr>
                <w:rFonts w:ascii="Times New Roman" w:eastAsia="標楷體" w:hAnsi="Times New Roman" w:cs="Arial"/>
                <w:sz w:val="28"/>
                <w:u w:val="single"/>
              </w:rPr>
              <w:t>public</w:t>
            </w:r>
            <w:r w:rsidR="00841B9B" w:rsidRPr="00BE5153">
              <w:rPr>
                <w:rFonts w:ascii="Times New Roman" w:eastAsia="標楷體" w:hAnsi="Times New Roman" w:cs="Arial"/>
                <w:sz w:val="28"/>
                <w:u w:val="single"/>
              </w:rPr>
              <w:t xml:space="preserve"> passenger vehicle on the </w:t>
            </w:r>
            <w:r w:rsidR="00955B69" w:rsidRPr="00BE5153">
              <w:rPr>
                <w:rFonts w:ascii="Times New Roman" w:eastAsia="標楷體" w:hAnsi="Times New Roman" w:cs="Arial"/>
                <w:sz w:val="28"/>
                <w:u w:val="single"/>
              </w:rPr>
              <w:t>same route</w:t>
            </w:r>
            <w:r w:rsidR="00841B9B" w:rsidRPr="00BE5153">
              <w:rPr>
                <w:rFonts w:ascii="Times New Roman" w:eastAsia="標楷體" w:hAnsi="Times New Roman" w:cs="Arial"/>
                <w:sz w:val="28"/>
                <w:u w:val="single"/>
              </w:rPr>
              <w:t>, and the parking fee</w:t>
            </w:r>
            <w:r w:rsidR="00955B69" w:rsidRPr="00BE5153">
              <w:rPr>
                <w:rFonts w:ascii="Times New Roman" w:eastAsia="標楷體" w:hAnsi="Times New Roman" w:cs="Arial"/>
                <w:sz w:val="28"/>
                <w:u w:val="single"/>
              </w:rPr>
              <w:t>s</w:t>
            </w:r>
            <w:r w:rsidR="00841B9B" w:rsidRPr="00BE5153">
              <w:rPr>
                <w:rFonts w:ascii="Times New Roman" w:eastAsia="標楷體" w:hAnsi="Times New Roman" w:cs="Arial"/>
                <w:sz w:val="28"/>
                <w:u w:val="single"/>
              </w:rPr>
              <w:t xml:space="preserve"> from home (KMU) to the transportation station shall be verified and subsidized (please note the </w:t>
            </w:r>
            <w:r w:rsidR="00955B69" w:rsidRPr="00BE5153">
              <w:rPr>
                <w:rFonts w:ascii="Times New Roman" w:eastAsia="標楷體" w:hAnsi="Times New Roman" w:cs="Arial"/>
                <w:sz w:val="28"/>
                <w:u w:val="single"/>
              </w:rPr>
              <w:t xml:space="preserve">Tax ID </w:t>
            </w:r>
            <w:r w:rsidR="00841B9B" w:rsidRPr="00BE5153">
              <w:rPr>
                <w:rFonts w:ascii="Times New Roman" w:eastAsia="標楷體" w:hAnsi="Times New Roman" w:cs="Arial"/>
                <w:sz w:val="28"/>
                <w:u w:val="single"/>
              </w:rPr>
              <w:t xml:space="preserve">number). No additional subsidies for fuel, </w:t>
            </w:r>
            <w:r w:rsidR="00955B69" w:rsidRPr="00BE5153">
              <w:rPr>
                <w:rFonts w:ascii="Times New Roman" w:eastAsia="標楷體" w:hAnsi="Times New Roman" w:cs="Arial"/>
                <w:sz w:val="28"/>
                <w:u w:val="single"/>
              </w:rPr>
              <w:t>toll</w:t>
            </w:r>
            <w:r w:rsidR="00841B9B" w:rsidRPr="00BE5153">
              <w:rPr>
                <w:rFonts w:ascii="Times New Roman" w:eastAsia="標楷體" w:hAnsi="Times New Roman" w:cs="Arial"/>
                <w:sz w:val="28"/>
                <w:u w:val="single"/>
              </w:rPr>
              <w:t xml:space="preserve"> (bridge) fees, etc; in the event of an accident, public funds shall not be used to pay for repair costs and damages to third parties.</w:t>
            </w:r>
          </w:p>
          <w:p w14:paraId="260B1072" w14:textId="77777777" w:rsidR="009D5685" w:rsidRPr="00BE5153" w:rsidRDefault="009D5685" w:rsidP="009D5685">
            <w:pPr>
              <w:pStyle w:val="TableParagraph"/>
              <w:spacing w:line="304" w:lineRule="exact"/>
              <w:ind w:leftChars="302" w:left="1231" w:hanging="567"/>
              <w:jc w:val="both"/>
              <w:rPr>
                <w:rFonts w:ascii="Times New Roman" w:eastAsia="標楷體" w:hAnsi="Times New Roman" w:cs="Times New Roman"/>
                <w:sz w:val="28"/>
              </w:rPr>
            </w:pPr>
            <w:r w:rsidRPr="00BE5153">
              <w:rPr>
                <w:rFonts w:ascii="Times New Roman" w:eastAsia="標楷體" w:hAnsi="Times New Roman" w:cs="Arial"/>
                <w:sz w:val="28"/>
              </w:rPr>
              <w:t>(3) Taxi fare: Taxi fare shall be verified and subsidized. Travelers traveling at the same place at the same time are requested to take the same taxi if there is no special reason.</w:t>
            </w:r>
            <w:r w:rsidRPr="00BE5153">
              <w:rPr>
                <w:rFonts w:ascii="Times New Roman" w:eastAsia="標楷體" w:hAnsi="Times New Roman" w:cs="Times New Roman" w:hint="eastAsia"/>
                <w:sz w:val="28"/>
                <w:lang w:eastAsia="zh-CN"/>
              </w:rPr>
              <w:t xml:space="preserve"> </w:t>
            </w:r>
            <w:r w:rsidRPr="00BE5153">
              <w:rPr>
                <w:rFonts w:ascii="Times New Roman" w:eastAsia="標楷體" w:hAnsi="Times New Roman" w:cs="Arial"/>
                <w:sz w:val="28"/>
              </w:rPr>
              <w:t>The taxi fare claimed for each business trip is limited to NT$500, and any amount exceeding NT$500 will be reimbursed as NT$500.</w:t>
            </w:r>
          </w:p>
          <w:p w14:paraId="1BBCB2E5" w14:textId="3A3EC8ED" w:rsidR="006D5EA1" w:rsidRPr="006D5EA1" w:rsidRDefault="009D5685" w:rsidP="006D5EA1">
            <w:pPr>
              <w:pStyle w:val="TableParagraph"/>
              <w:spacing w:line="440" w:lineRule="exact"/>
              <w:ind w:leftChars="298" w:left="1082" w:right="549" w:hangingChars="152" w:hanging="426"/>
              <w:rPr>
                <w:rFonts w:ascii="Times New Roman" w:eastAsia="標楷體" w:hAnsi="Times New Roman" w:cs="Arial"/>
                <w:sz w:val="28"/>
              </w:rPr>
            </w:pPr>
            <w:r w:rsidRPr="00BE5153">
              <w:rPr>
                <w:rFonts w:ascii="Times New Roman" w:eastAsia="標楷體" w:hAnsi="Times New Roman" w:cs="Arial"/>
                <w:sz w:val="28"/>
              </w:rPr>
              <w:t xml:space="preserve"> (4) Registration and tuition fees: shall be processed in accordance with the </w:t>
            </w:r>
            <w:r w:rsidRPr="00BE5153">
              <w:rPr>
                <w:rFonts w:ascii="Times New Roman" w:eastAsia="標楷體" w:hAnsi="Times New Roman" w:cs="Arial" w:hint="eastAsia"/>
                <w:sz w:val="28"/>
              </w:rPr>
              <w:t>a</w:t>
            </w:r>
            <w:r w:rsidRPr="00BE5153">
              <w:rPr>
                <w:rFonts w:ascii="Times New Roman" w:eastAsia="標楷體" w:hAnsi="Times New Roman" w:cs="Arial"/>
                <w:sz w:val="28"/>
              </w:rPr>
              <w:t>pproval and reimbursement procedures.</w:t>
            </w:r>
          </w:p>
          <w:p w14:paraId="7D7D28E7" w14:textId="77777777" w:rsidR="00921A0E" w:rsidRDefault="00921A0E" w:rsidP="00921A0E">
            <w:pPr>
              <w:pStyle w:val="TableParagraph"/>
              <w:spacing w:line="440" w:lineRule="exact"/>
              <w:ind w:leftChars="-472" w:left="1" w:right="549" w:hangingChars="371" w:hanging="1039"/>
              <w:rPr>
                <w:rFonts w:ascii="Times New Roman" w:eastAsia="標楷體" w:hAnsi="Times New Roman" w:cs="Arial"/>
                <w:sz w:val="28"/>
              </w:rPr>
            </w:pPr>
          </w:p>
          <w:p w14:paraId="7D57D978" w14:textId="77777777" w:rsidR="00921A0E" w:rsidRDefault="00921A0E" w:rsidP="00921A0E">
            <w:pPr>
              <w:pStyle w:val="TableParagraph"/>
              <w:spacing w:line="440" w:lineRule="exact"/>
              <w:ind w:leftChars="-537" w:left="-1181" w:right="549"/>
              <w:rPr>
                <w:rFonts w:ascii="Times New Roman" w:eastAsia="標楷體" w:hAnsi="Times New Roman" w:cs="Arial"/>
                <w:sz w:val="28"/>
              </w:rPr>
            </w:pPr>
          </w:p>
          <w:p w14:paraId="6F6EC6CA" w14:textId="77777777" w:rsidR="00921A0E" w:rsidRDefault="00921A0E" w:rsidP="00921A0E">
            <w:pPr>
              <w:pStyle w:val="TableParagraph"/>
              <w:spacing w:line="440" w:lineRule="exact"/>
              <w:ind w:leftChars="-601" w:right="549" w:hangingChars="472" w:hanging="1322"/>
              <w:rPr>
                <w:rFonts w:ascii="Times New Roman" w:eastAsia="標楷體" w:hAnsi="Times New Roman" w:cs="Arial"/>
                <w:sz w:val="28"/>
              </w:rPr>
            </w:pPr>
          </w:p>
          <w:p w14:paraId="07CD2FB1" w14:textId="77777777" w:rsidR="00921A0E" w:rsidRPr="00921A0E" w:rsidRDefault="00921A0E" w:rsidP="00921A0E">
            <w:pPr>
              <w:pStyle w:val="TableParagraph"/>
              <w:spacing w:line="440" w:lineRule="exact"/>
              <w:ind w:leftChars="-601" w:left="-1322" w:right="549"/>
              <w:rPr>
                <w:rFonts w:ascii="Times New Roman" w:eastAsia="標楷體" w:hAnsi="Times New Roman" w:cs="Arial"/>
                <w:sz w:val="28"/>
              </w:rPr>
            </w:pPr>
          </w:p>
          <w:p w14:paraId="3931A572" w14:textId="686223BC" w:rsidR="00921A0E" w:rsidRPr="00BE5153" w:rsidRDefault="00921A0E" w:rsidP="00921A0E">
            <w:pPr>
              <w:pStyle w:val="TableParagraph"/>
              <w:spacing w:line="440" w:lineRule="exact"/>
              <w:ind w:leftChars="-601" w:left="-1322" w:right="549"/>
              <w:rPr>
                <w:rFonts w:ascii="Times New Roman" w:eastAsia="標楷體" w:hAnsi="Times New Roman" w:cs="Times New Roman"/>
                <w:sz w:val="28"/>
              </w:rPr>
            </w:pPr>
          </w:p>
        </w:tc>
      </w:tr>
    </w:tbl>
    <w:p w14:paraId="0EF43E08" w14:textId="77777777" w:rsidR="00E26BA5" w:rsidRPr="00BE5153" w:rsidRDefault="00E26BA5">
      <w:pPr>
        <w:spacing w:line="313" w:lineRule="exact"/>
        <w:rPr>
          <w:rFonts w:ascii="Times New Roman" w:eastAsia="標楷體" w:hAnsi="Times New Roman" w:cs="Times New Roman"/>
          <w:sz w:val="28"/>
        </w:rPr>
        <w:sectPr w:rsidR="00E26BA5" w:rsidRPr="00BE5153" w:rsidSect="00E65D21">
          <w:type w:val="continuous"/>
          <w:pgSz w:w="11910" w:h="16840"/>
          <w:pgMar w:top="1247" w:right="1134" w:bottom="1247" w:left="1134" w:header="720" w:footer="720" w:gutter="0"/>
          <w:cols w:space="720"/>
        </w:sectPr>
      </w:pPr>
    </w:p>
    <w:tbl>
      <w:tblPr>
        <w:tblStyle w:val="TableNormal"/>
        <w:tblW w:w="0" w:type="auto"/>
        <w:tblInd w:w="152" w:type="dxa"/>
        <w:tblLayout w:type="fixed"/>
        <w:tblLook w:val="04A0" w:firstRow="1" w:lastRow="0" w:firstColumn="1" w:lastColumn="0" w:noHBand="0" w:noVBand="1"/>
      </w:tblPr>
      <w:tblGrid>
        <w:gridCol w:w="1172"/>
        <w:gridCol w:w="8283"/>
      </w:tblGrid>
      <w:tr w:rsidR="00E26BA5" w:rsidRPr="00BE5153" w14:paraId="7B6E0FE3" w14:textId="77777777" w:rsidTr="00955B69">
        <w:trPr>
          <w:trHeight w:val="959"/>
        </w:trPr>
        <w:tc>
          <w:tcPr>
            <w:tcW w:w="1172" w:type="dxa"/>
          </w:tcPr>
          <w:p w14:paraId="252FA095" w14:textId="34E3B89B" w:rsidR="00E26BA5" w:rsidRPr="00BE5153" w:rsidRDefault="00841B9B">
            <w:pPr>
              <w:pStyle w:val="TableParagraph"/>
              <w:spacing w:before="44"/>
              <w:ind w:right="127"/>
              <w:jc w:val="right"/>
              <w:rPr>
                <w:rFonts w:ascii="Times New Roman" w:eastAsia="標楷體" w:hAnsi="Times New Roman" w:cs="Times New Roman"/>
                <w:sz w:val="28"/>
              </w:rPr>
            </w:pPr>
            <w:r w:rsidRPr="00BE5153">
              <w:rPr>
                <w:rFonts w:ascii="Times New Roman" w:eastAsia="標楷體" w:hAnsi="Times New Roman" w:cs="Arial"/>
                <w:sz w:val="28"/>
              </w:rPr>
              <w:lastRenderedPageBreak/>
              <w:br/>
              <w:t>Article 3</w:t>
            </w:r>
          </w:p>
        </w:tc>
        <w:tc>
          <w:tcPr>
            <w:tcW w:w="8283" w:type="dxa"/>
          </w:tcPr>
          <w:p w14:paraId="0BCD677C" w14:textId="48B3CD9C" w:rsidR="00B70A2C" w:rsidRPr="00BE5153" w:rsidRDefault="00B70A2C" w:rsidP="00361FAD">
            <w:pPr>
              <w:pStyle w:val="TableParagraph"/>
              <w:spacing w:before="44"/>
              <w:rPr>
                <w:rFonts w:ascii="Times New Roman" w:eastAsia="標楷體" w:hAnsi="Times New Roman" w:cs="Times New Roman"/>
                <w:sz w:val="28"/>
              </w:rPr>
            </w:pPr>
          </w:p>
          <w:p w14:paraId="66B9A7FA" w14:textId="57514F29" w:rsidR="00E26BA5" w:rsidRPr="00BE5153" w:rsidRDefault="00361FAD" w:rsidP="00361FAD">
            <w:pPr>
              <w:pStyle w:val="TableParagraph"/>
              <w:spacing w:before="44"/>
              <w:ind w:left="129"/>
              <w:rPr>
                <w:rFonts w:ascii="Times New Roman" w:eastAsia="標楷體" w:hAnsi="Times New Roman" w:cs="Times New Roman"/>
                <w:sz w:val="28"/>
              </w:rPr>
            </w:pPr>
            <w:r w:rsidRPr="00BE5153">
              <w:rPr>
                <w:rFonts w:ascii="Times New Roman" w:eastAsia="標楷體" w:hAnsi="Times New Roman" w:cs="Arial"/>
                <w:sz w:val="28"/>
              </w:rPr>
              <w:t>For business trips without obtaining accommodation vouchers due to special circumstances, a special application may be submitted for review and processing by the Office of Accounting.</w:t>
            </w:r>
            <w:r w:rsidR="00B70A2C" w:rsidRPr="00BE5153">
              <w:rPr>
                <w:rFonts w:ascii="Times New Roman" w:eastAsia="標楷體" w:hAnsi="Times New Roman" w:cs="Arial"/>
                <w:sz w:val="28"/>
              </w:rPr>
              <w:br/>
            </w:r>
          </w:p>
        </w:tc>
      </w:tr>
      <w:tr w:rsidR="00E26BA5" w:rsidRPr="00BE5153" w14:paraId="44A2E84D" w14:textId="77777777">
        <w:trPr>
          <w:trHeight w:val="959"/>
        </w:trPr>
        <w:tc>
          <w:tcPr>
            <w:tcW w:w="1172" w:type="dxa"/>
          </w:tcPr>
          <w:p w14:paraId="48647126" w14:textId="216279FA" w:rsidR="00E26BA5" w:rsidRPr="00BE5153" w:rsidRDefault="00361FAD" w:rsidP="00361FAD">
            <w:pPr>
              <w:pStyle w:val="TableParagraph"/>
              <w:spacing w:before="44"/>
              <w:ind w:right="127"/>
              <w:jc w:val="right"/>
              <w:rPr>
                <w:rFonts w:ascii="Times New Roman" w:eastAsia="標楷體" w:hAnsi="Times New Roman" w:cs="Times New Roman"/>
                <w:sz w:val="28"/>
              </w:rPr>
            </w:pPr>
            <w:r w:rsidRPr="00BE5153">
              <w:rPr>
                <w:rFonts w:ascii="Times New Roman" w:eastAsia="標楷體" w:hAnsi="Times New Roman" w:cs="Arial"/>
                <w:sz w:val="28"/>
              </w:rPr>
              <w:t>Article 4</w:t>
            </w:r>
            <w:r>
              <w:rPr>
                <w:rFonts w:ascii="Times New Roman" w:eastAsia="標楷體" w:hAnsi="Times New Roman" w:cs="Arial" w:hint="eastAsia"/>
                <w:sz w:val="28"/>
              </w:rPr>
              <w:t xml:space="preserve">   </w:t>
            </w:r>
          </w:p>
        </w:tc>
        <w:tc>
          <w:tcPr>
            <w:tcW w:w="8283" w:type="dxa"/>
          </w:tcPr>
          <w:p w14:paraId="7EB6C4A5" w14:textId="378EF335" w:rsidR="00E26BA5" w:rsidRPr="00BE5153" w:rsidRDefault="00361FAD" w:rsidP="00B70A2C">
            <w:pPr>
              <w:pStyle w:val="TableParagraph"/>
              <w:spacing w:before="44"/>
              <w:ind w:left="129"/>
              <w:jc w:val="both"/>
              <w:rPr>
                <w:rFonts w:ascii="Times New Roman" w:eastAsia="標楷體" w:hAnsi="Times New Roman" w:cs="Times New Roman"/>
                <w:sz w:val="28"/>
              </w:rPr>
            </w:pPr>
            <w:r w:rsidRPr="00BE5153">
              <w:rPr>
                <w:rFonts w:ascii="Times New Roman" w:eastAsia="標楷體" w:hAnsi="Times New Roman" w:cs="Arial"/>
                <w:sz w:val="28"/>
              </w:rPr>
              <w:t>For business trips to and from Tainan and Pingtung on the same day, transportation expenses shall be subsidized on an actual basis, and meal and miscellaneous expenses shall be subsidized at a 50% discount according to the standards specified in the annex.</w:t>
            </w:r>
          </w:p>
        </w:tc>
      </w:tr>
      <w:tr w:rsidR="00E26BA5" w:rsidRPr="00BE5153" w14:paraId="68EDC465" w14:textId="77777777">
        <w:trPr>
          <w:trHeight w:val="479"/>
        </w:trPr>
        <w:tc>
          <w:tcPr>
            <w:tcW w:w="1172" w:type="dxa"/>
          </w:tcPr>
          <w:p w14:paraId="38B69D47" w14:textId="060CE08E" w:rsidR="00E26BA5" w:rsidRPr="00BE5153" w:rsidRDefault="00841B9B">
            <w:pPr>
              <w:pStyle w:val="TableParagraph"/>
              <w:spacing w:before="44"/>
              <w:ind w:right="127"/>
              <w:jc w:val="right"/>
              <w:rPr>
                <w:rFonts w:ascii="Times New Roman" w:eastAsia="標楷體" w:hAnsi="Times New Roman" w:cs="Times New Roman"/>
                <w:sz w:val="28"/>
              </w:rPr>
            </w:pPr>
            <w:r w:rsidRPr="00BE5153">
              <w:rPr>
                <w:rFonts w:ascii="Times New Roman" w:eastAsia="標楷體" w:hAnsi="Times New Roman" w:cs="Arial"/>
                <w:sz w:val="28"/>
              </w:rPr>
              <w:br/>
              <w:t>Article 5</w:t>
            </w:r>
          </w:p>
        </w:tc>
        <w:tc>
          <w:tcPr>
            <w:tcW w:w="8283" w:type="dxa"/>
          </w:tcPr>
          <w:p w14:paraId="50BC7553" w14:textId="4FE14B38" w:rsidR="00E26BA5" w:rsidRPr="00BE5153" w:rsidRDefault="00841B9B" w:rsidP="00B70A2C">
            <w:pPr>
              <w:pStyle w:val="TableParagraph"/>
              <w:spacing w:before="44"/>
              <w:ind w:left="129"/>
              <w:jc w:val="both"/>
              <w:rPr>
                <w:rFonts w:ascii="Times New Roman" w:eastAsia="標楷體" w:hAnsi="Times New Roman" w:cs="Times New Roman"/>
                <w:sz w:val="28"/>
              </w:rPr>
            </w:pPr>
            <w:r w:rsidRPr="00BE5153">
              <w:rPr>
                <w:rFonts w:ascii="Times New Roman" w:eastAsia="標楷體" w:hAnsi="Times New Roman" w:cs="Times New Roman"/>
                <w:spacing w:val="-1"/>
                <w:sz w:val="28"/>
              </w:rPr>
              <w:t>。</w:t>
            </w:r>
            <w:r w:rsidRPr="00BE5153">
              <w:rPr>
                <w:rFonts w:ascii="Times New Roman" w:eastAsia="標楷體" w:hAnsi="Times New Roman" w:cs="Arial"/>
                <w:sz w:val="28"/>
              </w:rPr>
              <w:br/>
              <w:t xml:space="preserve">Transportation expenses for official business or meetings in Kaohsiung City shall be </w:t>
            </w:r>
            <w:r w:rsidR="003B0F50" w:rsidRPr="00BE5153">
              <w:rPr>
                <w:rFonts w:ascii="Times New Roman" w:eastAsia="標楷體" w:hAnsi="Times New Roman" w:cs="Arial"/>
                <w:sz w:val="28"/>
              </w:rPr>
              <w:t>reimbursed</w:t>
            </w:r>
            <w:r w:rsidRPr="00BE5153">
              <w:rPr>
                <w:rFonts w:ascii="Times New Roman" w:eastAsia="標楷體" w:hAnsi="Times New Roman" w:cs="Arial"/>
                <w:sz w:val="28"/>
              </w:rPr>
              <w:t xml:space="preserve"> based on actual expenses.</w:t>
            </w:r>
          </w:p>
        </w:tc>
      </w:tr>
      <w:tr w:rsidR="00E26BA5" w:rsidRPr="00BE5153" w14:paraId="5E993198" w14:textId="77777777">
        <w:trPr>
          <w:trHeight w:val="963"/>
        </w:trPr>
        <w:tc>
          <w:tcPr>
            <w:tcW w:w="1172" w:type="dxa"/>
          </w:tcPr>
          <w:p w14:paraId="04944F54" w14:textId="3BFC03C0" w:rsidR="00E26BA5" w:rsidRPr="00BE5153" w:rsidRDefault="00841B9B">
            <w:pPr>
              <w:pStyle w:val="TableParagraph"/>
              <w:spacing w:before="44"/>
              <w:ind w:right="127"/>
              <w:jc w:val="right"/>
              <w:rPr>
                <w:rFonts w:ascii="Times New Roman" w:eastAsia="標楷體" w:hAnsi="Times New Roman" w:cs="Times New Roman"/>
                <w:sz w:val="28"/>
              </w:rPr>
            </w:pPr>
            <w:r w:rsidRPr="00BE5153">
              <w:rPr>
                <w:rFonts w:ascii="Times New Roman" w:eastAsia="標楷體" w:hAnsi="Times New Roman" w:cs="Arial"/>
                <w:sz w:val="28"/>
              </w:rPr>
              <w:br/>
              <w:t>Article 6</w:t>
            </w:r>
          </w:p>
        </w:tc>
        <w:tc>
          <w:tcPr>
            <w:tcW w:w="8283" w:type="dxa"/>
          </w:tcPr>
          <w:p w14:paraId="633806D2" w14:textId="70605DD1" w:rsidR="00B70A2C" w:rsidRPr="00BE5153" w:rsidRDefault="00B70A2C" w:rsidP="00621B39">
            <w:pPr>
              <w:pStyle w:val="TableParagraph"/>
              <w:spacing w:before="45"/>
              <w:jc w:val="both"/>
              <w:rPr>
                <w:rFonts w:ascii="Times New Roman" w:eastAsia="標楷體" w:hAnsi="Times New Roman" w:cs="Arial"/>
                <w:sz w:val="28"/>
              </w:rPr>
            </w:pPr>
          </w:p>
          <w:p w14:paraId="3E8710B8" w14:textId="4E8724F2" w:rsidR="00E26BA5" w:rsidRPr="00BE5153" w:rsidRDefault="00B70A2C" w:rsidP="00B70A2C">
            <w:pPr>
              <w:pStyle w:val="TableParagraph"/>
              <w:spacing w:before="45"/>
              <w:ind w:left="129"/>
              <w:jc w:val="both"/>
              <w:rPr>
                <w:rFonts w:ascii="Times New Roman" w:eastAsia="標楷體" w:hAnsi="Times New Roman" w:cs="Times New Roman"/>
                <w:sz w:val="28"/>
              </w:rPr>
            </w:pPr>
            <w:r w:rsidRPr="00BE5153">
              <w:rPr>
                <w:rFonts w:ascii="Times New Roman" w:eastAsia="標楷體" w:hAnsi="Times New Roman" w:cs="Arial"/>
                <w:sz w:val="28"/>
              </w:rPr>
              <w:t xml:space="preserve">The number of business trip days on the </w:t>
            </w:r>
            <w:r w:rsidRPr="00BE5153">
              <w:rPr>
                <w:rFonts w:ascii="Times New Roman" w:eastAsia="標楷體" w:hAnsi="Times New Roman" w:cs="Arial"/>
                <w:sz w:val="28"/>
                <w:u w:val="single"/>
              </w:rPr>
              <w:t>"Business Trip Form" and "Travel Expense Report Form"</w:t>
            </w:r>
            <w:r w:rsidRPr="00BE5153">
              <w:rPr>
                <w:rFonts w:ascii="Times New Roman" w:eastAsia="標楷體" w:hAnsi="Times New Roman" w:cs="Arial"/>
                <w:sz w:val="28"/>
              </w:rPr>
              <w:t xml:space="preserve"> shall be determined by the Human Resources Office based on the actual travel date, meeting </w:t>
            </w:r>
            <w:r w:rsidRPr="00BE5153">
              <w:rPr>
                <w:rFonts w:ascii="Times New Roman" w:eastAsia="標楷體" w:hAnsi="Times New Roman" w:cs="Arial"/>
                <w:sz w:val="28"/>
                <w:u w:val="single"/>
              </w:rPr>
              <w:t>(activity) time</w:t>
            </w:r>
            <w:r w:rsidR="001872A3" w:rsidRPr="00BE5153">
              <w:rPr>
                <w:rFonts w:ascii="Times New Roman" w:eastAsia="標楷體" w:hAnsi="Times New Roman" w:cs="Arial"/>
                <w:sz w:val="28"/>
                <w:u w:val="single"/>
              </w:rPr>
              <w:t>,</w:t>
            </w:r>
            <w:r w:rsidRPr="00BE5153">
              <w:rPr>
                <w:rFonts w:ascii="Times New Roman" w:eastAsia="標楷體" w:hAnsi="Times New Roman" w:cs="Arial"/>
                <w:sz w:val="28"/>
                <w:u w:val="single"/>
              </w:rPr>
              <w:t xml:space="preserve"> and the approved application record of the official leave</w:t>
            </w:r>
            <w:r w:rsidRPr="00BE5153">
              <w:rPr>
                <w:rFonts w:ascii="Times New Roman" w:eastAsia="標楷體" w:hAnsi="Times New Roman" w:cs="Arial"/>
                <w:sz w:val="28"/>
              </w:rPr>
              <w:t>.</w:t>
            </w:r>
          </w:p>
        </w:tc>
      </w:tr>
      <w:tr w:rsidR="00E26BA5" w:rsidRPr="00BE5153" w14:paraId="033CBFF6" w14:textId="77777777" w:rsidTr="00955B69">
        <w:trPr>
          <w:trHeight w:val="851"/>
        </w:trPr>
        <w:tc>
          <w:tcPr>
            <w:tcW w:w="1172" w:type="dxa"/>
          </w:tcPr>
          <w:p w14:paraId="36106A63" w14:textId="31B2E110" w:rsidR="00E26BA5" w:rsidRPr="00BE5153" w:rsidRDefault="00841B9B" w:rsidP="00537CC0">
            <w:pPr>
              <w:pStyle w:val="TableParagraph"/>
              <w:spacing w:before="41"/>
              <w:ind w:right="127"/>
              <w:jc w:val="right"/>
              <w:rPr>
                <w:rFonts w:ascii="Times New Roman" w:eastAsia="標楷體" w:hAnsi="Times New Roman" w:cs="Times New Roman"/>
                <w:sz w:val="28"/>
              </w:rPr>
            </w:pPr>
            <w:r w:rsidRPr="00BE5153">
              <w:rPr>
                <w:rFonts w:ascii="Times New Roman" w:eastAsia="標楷體" w:hAnsi="Times New Roman" w:cs="Arial"/>
                <w:sz w:val="28"/>
              </w:rPr>
              <w:br/>
              <w:t>Article 7</w:t>
            </w:r>
          </w:p>
        </w:tc>
        <w:tc>
          <w:tcPr>
            <w:tcW w:w="8283" w:type="dxa"/>
          </w:tcPr>
          <w:p w14:paraId="36B2C502" w14:textId="14839741" w:rsidR="00E26BA5" w:rsidRPr="00BE5153" w:rsidRDefault="00841B9B" w:rsidP="00B70A2C">
            <w:pPr>
              <w:pStyle w:val="TableParagraph"/>
              <w:spacing w:before="41"/>
              <w:ind w:left="129"/>
              <w:jc w:val="both"/>
              <w:rPr>
                <w:rFonts w:ascii="Times New Roman" w:eastAsia="標楷體" w:hAnsi="Times New Roman" w:cs="Times New Roman"/>
                <w:sz w:val="28"/>
              </w:rPr>
            </w:pPr>
            <w:r w:rsidRPr="00BE5153">
              <w:rPr>
                <w:rFonts w:ascii="Times New Roman" w:eastAsia="標楷體" w:hAnsi="Times New Roman" w:cs="Arial"/>
                <w:sz w:val="28"/>
              </w:rPr>
              <w:br/>
            </w:r>
            <w:r w:rsidR="00B70A2C" w:rsidRPr="00BE5153">
              <w:rPr>
                <w:rFonts w:ascii="Times New Roman" w:eastAsia="標楷體" w:hAnsi="Times New Roman" w:cs="Arial"/>
                <w:sz w:val="28"/>
              </w:rPr>
              <w:t>The affiliated institutions of KMU may set their travel expenses standards for employees based on actual needs.</w:t>
            </w:r>
            <w:r w:rsidR="00B70A2C" w:rsidRPr="00BE5153">
              <w:rPr>
                <w:rFonts w:ascii="Times New Roman" w:eastAsia="標楷體" w:hAnsi="Times New Roman" w:cs="Times New Roman" w:hint="eastAsia"/>
                <w:sz w:val="28"/>
                <w:lang w:eastAsia="zh-CN"/>
              </w:rPr>
              <w:t xml:space="preserve"> </w:t>
            </w:r>
            <w:r w:rsidRPr="00BE5153">
              <w:rPr>
                <w:rFonts w:ascii="Times New Roman" w:eastAsia="標楷體" w:hAnsi="Times New Roman" w:cs="Arial"/>
                <w:sz w:val="28"/>
              </w:rPr>
              <w:t xml:space="preserve">The travel expenses </w:t>
            </w:r>
            <w:r w:rsidR="00711E8F" w:rsidRPr="00BE5153">
              <w:rPr>
                <w:rFonts w:ascii="Times New Roman" w:eastAsia="標楷體" w:hAnsi="Times New Roman" w:cs="Arial"/>
                <w:sz w:val="28"/>
              </w:rPr>
              <w:t xml:space="preserve">reimbursement </w:t>
            </w:r>
            <w:r w:rsidRPr="00BE5153">
              <w:rPr>
                <w:rFonts w:ascii="Times New Roman" w:eastAsia="標楷體" w:hAnsi="Times New Roman" w:cs="Arial"/>
                <w:sz w:val="28"/>
              </w:rPr>
              <w:t xml:space="preserve">of the </w:t>
            </w:r>
            <w:r w:rsidR="008A0321" w:rsidRPr="00BE5153">
              <w:rPr>
                <w:rFonts w:ascii="Times New Roman" w:eastAsia="標楷體" w:hAnsi="Times New Roman" w:cs="Arial"/>
                <w:sz w:val="28"/>
              </w:rPr>
              <w:t>principal</w:t>
            </w:r>
            <w:r w:rsidRPr="00BE5153">
              <w:rPr>
                <w:rFonts w:ascii="Times New Roman" w:eastAsia="標楷體" w:hAnsi="Times New Roman" w:cs="Arial"/>
                <w:sz w:val="28"/>
              </w:rPr>
              <w:t xml:space="preserve"> </w:t>
            </w:r>
            <w:r w:rsidR="00F234CB" w:rsidRPr="00BE5153">
              <w:rPr>
                <w:rFonts w:ascii="Times New Roman" w:eastAsia="標楷體" w:hAnsi="Times New Roman" w:cs="Arial"/>
                <w:sz w:val="28"/>
              </w:rPr>
              <w:t>investigators</w:t>
            </w:r>
            <w:r w:rsidRPr="00BE5153">
              <w:rPr>
                <w:rFonts w:ascii="Times New Roman" w:eastAsia="標楷體" w:hAnsi="Times New Roman" w:cs="Arial"/>
                <w:sz w:val="28"/>
              </w:rPr>
              <w:t xml:space="preserve"> and research assistants </w:t>
            </w:r>
            <w:r w:rsidR="00711E8F" w:rsidRPr="00BE5153">
              <w:rPr>
                <w:rFonts w:ascii="Times New Roman" w:eastAsia="標楷體" w:hAnsi="Times New Roman" w:cs="Arial"/>
                <w:sz w:val="28"/>
              </w:rPr>
              <w:t>may</w:t>
            </w:r>
            <w:r w:rsidRPr="00BE5153">
              <w:rPr>
                <w:rFonts w:ascii="Times New Roman" w:eastAsia="標楷體" w:hAnsi="Times New Roman" w:cs="Arial"/>
                <w:sz w:val="28"/>
              </w:rPr>
              <w:t xml:space="preserve"> be handled accordingly, and the</w:t>
            </w:r>
            <w:r w:rsidR="00BE5153" w:rsidRPr="00BE5153">
              <w:rPr>
                <w:rFonts w:ascii="Times New Roman" w:eastAsia="標楷體" w:hAnsi="Times New Roman" w:cs="Arial"/>
                <w:sz w:val="28"/>
              </w:rPr>
              <w:t xml:space="preserve"> </w:t>
            </w:r>
            <w:r w:rsidR="00711E8F" w:rsidRPr="00BE5153">
              <w:rPr>
                <w:rFonts w:ascii="Times New Roman" w:eastAsia="標楷體" w:hAnsi="Times New Roman" w:cs="Arial"/>
                <w:sz w:val="28"/>
              </w:rPr>
              <w:t xml:space="preserve">expenses </w:t>
            </w:r>
            <w:r w:rsidRPr="00BE5153">
              <w:rPr>
                <w:rFonts w:ascii="Times New Roman" w:eastAsia="標楷體" w:hAnsi="Times New Roman" w:cs="Arial"/>
                <w:sz w:val="28"/>
              </w:rPr>
              <w:t xml:space="preserve">shall be paid </w:t>
            </w:r>
            <w:r w:rsidR="00F26D94" w:rsidRPr="00BE5153">
              <w:rPr>
                <w:rFonts w:ascii="Times New Roman" w:eastAsia="標楷體" w:hAnsi="Times New Roman" w:cs="Arial"/>
                <w:sz w:val="28"/>
              </w:rPr>
              <w:t xml:space="preserve">for </w:t>
            </w:r>
            <w:r w:rsidR="00711E8F" w:rsidRPr="00BE5153">
              <w:rPr>
                <w:rFonts w:ascii="Times New Roman" w:eastAsia="標楷體" w:hAnsi="Times New Roman" w:cs="Arial"/>
                <w:sz w:val="28"/>
              </w:rPr>
              <w:t xml:space="preserve">by </w:t>
            </w:r>
            <w:r w:rsidR="00C725B1" w:rsidRPr="00BE5153">
              <w:rPr>
                <w:rFonts w:ascii="Times New Roman" w:eastAsia="標楷體" w:hAnsi="Times New Roman" w:cs="Arial"/>
                <w:sz w:val="28"/>
              </w:rPr>
              <w:t xml:space="preserve">the </w:t>
            </w:r>
            <w:r w:rsidRPr="00BE5153">
              <w:rPr>
                <w:rFonts w:ascii="Times New Roman" w:eastAsia="標楷體" w:hAnsi="Times New Roman" w:cs="Arial"/>
                <w:sz w:val="28"/>
              </w:rPr>
              <w:t>project</w:t>
            </w:r>
            <w:r w:rsidR="00F26D94" w:rsidRPr="00BE5153">
              <w:rPr>
                <w:rFonts w:ascii="Times New Roman" w:eastAsia="標楷體" w:hAnsi="Times New Roman" w:cs="Arial"/>
                <w:sz w:val="28"/>
              </w:rPr>
              <w:t xml:space="preserve"> fund</w:t>
            </w:r>
            <w:r w:rsidR="00C725B1" w:rsidRPr="00BE5153">
              <w:rPr>
                <w:rFonts w:ascii="Times New Roman" w:eastAsia="標楷體" w:hAnsi="Times New Roman" w:cs="Arial"/>
                <w:sz w:val="28"/>
              </w:rPr>
              <w:t>s</w:t>
            </w:r>
            <w:r w:rsidRPr="00BE5153">
              <w:rPr>
                <w:rFonts w:ascii="Times New Roman" w:eastAsia="標楷體" w:hAnsi="Times New Roman" w:cs="Arial"/>
                <w:sz w:val="28"/>
              </w:rPr>
              <w:t xml:space="preserve">. </w:t>
            </w:r>
            <w:r w:rsidR="00C725B1" w:rsidRPr="00BE5153">
              <w:rPr>
                <w:rFonts w:ascii="Times New Roman" w:eastAsia="標楷體" w:hAnsi="Times New Roman" w:cs="Arial"/>
                <w:sz w:val="28"/>
              </w:rPr>
              <w:t>If the project has specific regulations, they shall be followed accordingly.</w:t>
            </w:r>
          </w:p>
        </w:tc>
      </w:tr>
    </w:tbl>
    <w:p w14:paraId="5B75A535" w14:textId="77777777" w:rsidR="00E65D21" w:rsidRDefault="00E65D21"/>
    <w:tbl>
      <w:tblPr>
        <w:tblStyle w:val="TableNormal"/>
        <w:tblW w:w="0" w:type="auto"/>
        <w:tblInd w:w="152" w:type="dxa"/>
        <w:tblLayout w:type="fixed"/>
        <w:tblLook w:val="04A0" w:firstRow="1" w:lastRow="0" w:firstColumn="1" w:lastColumn="0" w:noHBand="0" w:noVBand="1"/>
      </w:tblPr>
      <w:tblGrid>
        <w:gridCol w:w="1172"/>
        <w:gridCol w:w="8283"/>
      </w:tblGrid>
      <w:tr w:rsidR="00E26BA5" w:rsidRPr="00BE5153" w14:paraId="6F3234B3" w14:textId="77777777" w:rsidTr="005D7D62">
        <w:trPr>
          <w:trHeight w:val="1135"/>
        </w:trPr>
        <w:tc>
          <w:tcPr>
            <w:tcW w:w="1172" w:type="dxa"/>
          </w:tcPr>
          <w:p w14:paraId="4C9CF8DD" w14:textId="26B92E6E" w:rsidR="00E26BA5" w:rsidRPr="00BE5153" w:rsidRDefault="00841B9B">
            <w:pPr>
              <w:pStyle w:val="TableParagraph"/>
              <w:spacing w:before="41"/>
              <w:ind w:right="127"/>
              <w:jc w:val="right"/>
              <w:rPr>
                <w:rFonts w:ascii="Times New Roman" w:eastAsia="標楷體" w:hAnsi="Times New Roman" w:cs="Times New Roman"/>
                <w:sz w:val="28"/>
              </w:rPr>
            </w:pPr>
            <w:r w:rsidRPr="00BE5153">
              <w:rPr>
                <w:rFonts w:ascii="Times New Roman" w:eastAsia="標楷體" w:hAnsi="Times New Roman" w:cs="Arial"/>
                <w:sz w:val="28"/>
              </w:rPr>
              <w:br/>
              <w:t>Article 8</w:t>
            </w:r>
          </w:p>
        </w:tc>
        <w:tc>
          <w:tcPr>
            <w:tcW w:w="8283" w:type="dxa"/>
          </w:tcPr>
          <w:p w14:paraId="2FD08D39" w14:textId="3670F6CF" w:rsidR="00B70A2C" w:rsidRPr="00BE5153" w:rsidRDefault="00B70A2C" w:rsidP="00B70A2C">
            <w:pPr>
              <w:pStyle w:val="TableParagraph"/>
              <w:spacing w:before="41"/>
              <w:ind w:left="129"/>
              <w:jc w:val="both"/>
              <w:rPr>
                <w:rFonts w:ascii="Times New Roman" w:eastAsia="標楷體" w:hAnsi="Times New Roman" w:cs="Arial"/>
                <w:sz w:val="28"/>
              </w:rPr>
            </w:pPr>
          </w:p>
          <w:p w14:paraId="5FAC4725" w14:textId="1100B60D" w:rsidR="00E26BA5" w:rsidRPr="00BE5153" w:rsidRDefault="00705C71" w:rsidP="00955B69">
            <w:pPr>
              <w:pStyle w:val="TableParagraph"/>
              <w:spacing w:before="41"/>
              <w:ind w:left="129"/>
              <w:jc w:val="both"/>
              <w:rPr>
                <w:rFonts w:ascii="Times New Roman" w:eastAsia="標楷體" w:hAnsi="Times New Roman" w:cs="Times New Roman"/>
                <w:sz w:val="28"/>
              </w:rPr>
            </w:pPr>
            <w:r w:rsidRPr="00705C71">
              <w:rPr>
                <w:rFonts w:ascii="Times New Roman" w:eastAsia="標楷體" w:hAnsi="Times New Roman" w:cs="Arial"/>
                <w:sz w:val="28"/>
              </w:rPr>
              <w:t xml:space="preserve">After being reviewed and approved by the </w:t>
            </w:r>
            <w:r w:rsidRPr="00BE5153">
              <w:rPr>
                <w:rFonts w:ascii="Times New Roman" w:eastAsia="標楷體" w:hAnsi="Times New Roman" w:cs="Arial"/>
                <w:sz w:val="28"/>
              </w:rPr>
              <w:t>Administrative Meeting</w:t>
            </w:r>
            <w:r w:rsidRPr="00705C71">
              <w:rPr>
                <w:rFonts w:ascii="Times New Roman" w:eastAsia="標楷體" w:hAnsi="Times New Roman" w:cs="Arial"/>
                <w:sz w:val="28"/>
              </w:rPr>
              <w:t xml:space="preserve"> and </w:t>
            </w:r>
            <w:r w:rsidR="00E65D21" w:rsidRPr="00BE5153">
              <w:rPr>
                <w:rFonts w:ascii="Times New Roman" w:eastAsia="標楷體" w:hAnsi="Times New Roman" w:cs="Arial"/>
                <w:sz w:val="28"/>
              </w:rPr>
              <w:t>the President</w:t>
            </w:r>
            <w:r w:rsidRPr="00705C71">
              <w:rPr>
                <w:rFonts w:ascii="Times New Roman" w:eastAsia="標楷體" w:hAnsi="Times New Roman" w:cs="Arial"/>
                <w:sz w:val="28"/>
              </w:rPr>
              <w:t xml:space="preserve">, the </w:t>
            </w:r>
            <w:r w:rsidR="00E65D21" w:rsidRPr="00BE5153">
              <w:rPr>
                <w:rFonts w:ascii="Times New Roman" w:eastAsia="標楷體" w:hAnsi="Times New Roman" w:cs="Arial"/>
                <w:sz w:val="28"/>
              </w:rPr>
              <w:t>Standards</w:t>
            </w:r>
            <w:r w:rsidRPr="00705C71">
              <w:rPr>
                <w:rFonts w:ascii="Times New Roman" w:eastAsia="標楷體" w:hAnsi="Times New Roman" w:cs="Arial"/>
                <w:sz w:val="28"/>
              </w:rPr>
              <w:t xml:space="preserve"> shall be implemented from the date of announcement, and the same applies to amendments.</w:t>
            </w:r>
            <w:r>
              <w:rPr>
                <w:rFonts w:ascii="Times New Roman" w:eastAsia="標楷體" w:hAnsi="Times New Roman" w:cs="Arial"/>
                <w:sz w:val="28"/>
              </w:rPr>
              <w:t xml:space="preserve"> </w:t>
            </w:r>
          </w:p>
        </w:tc>
      </w:tr>
    </w:tbl>
    <w:p w14:paraId="7F20D8B4" w14:textId="2A266ADA" w:rsidR="005D7D62" w:rsidRDefault="005D7D62">
      <w:pPr>
        <w:rPr>
          <w:rFonts w:eastAsiaTheme="minorEastAsia"/>
        </w:rPr>
      </w:pPr>
    </w:p>
    <w:p w14:paraId="1EDDF19B" w14:textId="6F2BCCC8" w:rsidR="005D7D62" w:rsidRPr="005D7D62" w:rsidRDefault="005D7D62">
      <w:pPr>
        <w:rPr>
          <w:rFonts w:eastAsiaTheme="minorEastAsia" w:hint="eastAsia"/>
        </w:rPr>
      </w:pPr>
      <w:r w:rsidRPr="0072692D">
        <w:rPr>
          <w:rFonts w:ascii="Times New Roman" w:eastAsia="標楷體" w:hAnsi="Times New Roman"/>
          <w:b/>
        </w:rPr>
        <w:t>*The English version is for reference only. If there is any inconsistency or ambiguity between the English and Traditional Chinese versions, the Traditional Chinese version shall prevail.</w:t>
      </w:r>
    </w:p>
    <w:p w14:paraId="741CA432" w14:textId="77777777" w:rsidR="00E26BA5" w:rsidRPr="00BE5153" w:rsidRDefault="00E26BA5">
      <w:pPr>
        <w:spacing w:line="316" w:lineRule="exact"/>
        <w:rPr>
          <w:rFonts w:ascii="Times New Roman" w:eastAsia="標楷體" w:hAnsi="Times New Roman" w:cs="Times New Roman"/>
          <w:sz w:val="28"/>
        </w:rPr>
        <w:sectPr w:rsidR="00E26BA5" w:rsidRPr="00BE5153" w:rsidSect="00E65D21">
          <w:pgSz w:w="11910" w:h="16840"/>
          <w:pgMar w:top="1500" w:right="1134" w:bottom="280" w:left="1134" w:header="720" w:footer="720" w:gutter="0"/>
          <w:cols w:space="720"/>
        </w:sectPr>
      </w:pPr>
    </w:p>
    <w:p w14:paraId="09D40508" w14:textId="13982542" w:rsidR="00E26BA5" w:rsidRPr="00BE5153" w:rsidRDefault="00841B9B" w:rsidP="00537CC0">
      <w:pPr>
        <w:spacing w:before="34"/>
        <w:rPr>
          <w:rFonts w:ascii="Times New Roman" w:eastAsia="標楷體" w:hAnsi="Times New Roman" w:cs="Times New Roman"/>
          <w:sz w:val="24"/>
        </w:rPr>
      </w:pPr>
      <w:r w:rsidRPr="00BE5153">
        <w:rPr>
          <w:rFonts w:ascii="Times New Roman" w:eastAsia="標楷體" w:hAnsi="Times New Roman" w:cs="Arial"/>
          <w:sz w:val="24"/>
        </w:rPr>
        <w:lastRenderedPageBreak/>
        <w:t>Annex</w:t>
      </w:r>
    </w:p>
    <w:p w14:paraId="25D1C8EB" w14:textId="77777777" w:rsidR="00E26BA5" w:rsidRPr="00BE5153" w:rsidRDefault="00E26BA5">
      <w:pPr>
        <w:spacing w:after="1"/>
        <w:rPr>
          <w:rFonts w:ascii="Times New Roman" w:eastAsia="標楷體" w:hAnsi="Times New Roman" w:cs="Times New Roman"/>
          <w:sz w:val="14"/>
        </w:rPr>
      </w:pPr>
    </w:p>
    <w:tbl>
      <w:tblPr>
        <w:tblStyle w:val="TableNormal"/>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1410"/>
        <w:gridCol w:w="1275"/>
        <w:gridCol w:w="859"/>
        <w:gridCol w:w="3227"/>
      </w:tblGrid>
      <w:tr w:rsidR="00E26BA5" w:rsidRPr="00BE5153" w14:paraId="3D9B2FEC" w14:textId="77777777" w:rsidTr="00684373">
        <w:trPr>
          <w:trHeight w:val="359"/>
          <w:tblHeader/>
        </w:trPr>
        <w:tc>
          <w:tcPr>
            <w:tcW w:w="2863" w:type="dxa"/>
            <w:vMerge w:val="restart"/>
            <w:vAlign w:val="center"/>
          </w:tcPr>
          <w:p w14:paraId="7C159E02" w14:textId="4EDA1CE8" w:rsidR="00E26BA5" w:rsidRPr="00BE5153" w:rsidRDefault="00006668" w:rsidP="00537CC0">
            <w:pPr>
              <w:pStyle w:val="TableParagraph"/>
              <w:tabs>
                <w:tab w:val="left" w:pos="1672"/>
              </w:tabs>
              <w:spacing w:before="196"/>
              <w:ind w:left="164"/>
              <w:jc w:val="center"/>
              <w:rPr>
                <w:rFonts w:ascii="Times New Roman" w:eastAsia="標楷體" w:hAnsi="Times New Roman" w:cs="Times New Roman"/>
                <w:sz w:val="24"/>
              </w:rPr>
            </w:pPr>
            <w:r>
              <w:rPr>
                <w:rFonts w:ascii="Times New Roman" w:eastAsia="標楷體" w:hAnsi="Times New Roman" w:cs="Arial"/>
                <w:szCs w:val="16"/>
              </w:rPr>
              <w:t xml:space="preserve">Position </w:t>
            </w:r>
            <w:r w:rsidR="00841B9B" w:rsidRPr="00006668">
              <w:rPr>
                <w:rFonts w:ascii="Times New Roman" w:eastAsia="標楷體" w:hAnsi="Times New Roman" w:cs="Arial"/>
                <w:szCs w:val="16"/>
              </w:rPr>
              <w:t>title</w:t>
            </w:r>
          </w:p>
        </w:tc>
        <w:tc>
          <w:tcPr>
            <w:tcW w:w="3544" w:type="dxa"/>
            <w:gridSpan w:val="3"/>
            <w:vAlign w:val="center"/>
          </w:tcPr>
          <w:p w14:paraId="645BAD3C" w14:textId="2093D882" w:rsidR="00E26BA5" w:rsidRPr="00BE5153" w:rsidRDefault="00841B9B" w:rsidP="00537CC0">
            <w:pPr>
              <w:pStyle w:val="TableParagraph"/>
              <w:spacing w:before="11"/>
              <w:ind w:left="131"/>
              <w:jc w:val="center"/>
              <w:rPr>
                <w:rFonts w:ascii="Times New Roman" w:eastAsia="標楷體" w:hAnsi="Times New Roman" w:cs="Times New Roman"/>
                <w:sz w:val="24"/>
              </w:rPr>
            </w:pPr>
            <w:r w:rsidRPr="00006668">
              <w:rPr>
                <w:rFonts w:ascii="Times New Roman" w:eastAsia="標楷體" w:hAnsi="Times New Roman" w:cs="Arial"/>
                <w:szCs w:val="16"/>
              </w:rPr>
              <w:t>Daily meal and miscellaneous fees and accommodation expenses</w:t>
            </w:r>
          </w:p>
        </w:tc>
        <w:tc>
          <w:tcPr>
            <w:tcW w:w="3227" w:type="dxa"/>
            <w:vMerge w:val="restart"/>
            <w:vAlign w:val="center"/>
          </w:tcPr>
          <w:p w14:paraId="3F38D98A" w14:textId="635051DA" w:rsidR="00006668" w:rsidRDefault="00006668" w:rsidP="00537CC0">
            <w:pPr>
              <w:pStyle w:val="TableParagraph"/>
              <w:jc w:val="center"/>
              <w:rPr>
                <w:rFonts w:ascii="Times New Roman" w:eastAsia="標楷體" w:hAnsi="Times New Roman" w:cs="Times New Roman"/>
                <w:sz w:val="24"/>
              </w:rPr>
            </w:pPr>
          </w:p>
          <w:p w14:paraId="2C11B00A" w14:textId="5C763E17" w:rsidR="00E26BA5" w:rsidRPr="00BE5153" w:rsidRDefault="00841B9B" w:rsidP="00537CC0">
            <w:pPr>
              <w:pStyle w:val="TableParagraph"/>
              <w:jc w:val="center"/>
              <w:rPr>
                <w:rFonts w:ascii="Times New Roman" w:eastAsia="標楷體" w:hAnsi="Times New Roman" w:cs="Times New Roman"/>
                <w:sz w:val="24"/>
              </w:rPr>
            </w:pPr>
            <w:r w:rsidRPr="00006668">
              <w:rPr>
                <w:rFonts w:ascii="Times New Roman" w:eastAsia="標楷體" w:hAnsi="Times New Roman" w:cs="Arial"/>
                <w:szCs w:val="16"/>
              </w:rPr>
              <w:t>Remarks</w:t>
            </w:r>
          </w:p>
        </w:tc>
      </w:tr>
      <w:tr w:rsidR="00E26BA5" w:rsidRPr="00BE5153" w14:paraId="00E89065" w14:textId="77777777" w:rsidTr="00684373">
        <w:trPr>
          <w:trHeight w:val="359"/>
          <w:tblHeader/>
        </w:trPr>
        <w:tc>
          <w:tcPr>
            <w:tcW w:w="2863" w:type="dxa"/>
            <w:vMerge/>
            <w:tcBorders>
              <w:top w:val="nil"/>
            </w:tcBorders>
            <w:vAlign w:val="center"/>
          </w:tcPr>
          <w:p w14:paraId="058A44BC" w14:textId="77777777" w:rsidR="00E26BA5" w:rsidRPr="00BE5153" w:rsidRDefault="00E26BA5" w:rsidP="00537CC0">
            <w:pPr>
              <w:jc w:val="center"/>
              <w:rPr>
                <w:rFonts w:ascii="Times New Roman" w:eastAsia="標楷體" w:hAnsi="Times New Roman" w:cs="Times New Roman"/>
                <w:sz w:val="2"/>
                <w:szCs w:val="2"/>
              </w:rPr>
            </w:pPr>
          </w:p>
        </w:tc>
        <w:tc>
          <w:tcPr>
            <w:tcW w:w="1410" w:type="dxa"/>
            <w:vAlign w:val="center"/>
          </w:tcPr>
          <w:p w14:paraId="247B852A" w14:textId="62E5C01A" w:rsidR="00E26BA5" w:rsidRPr="00BE5153" w:rsidRDefault="00841B9B" w:rsidP="00537CC0">
            <w:pPr>
              <w:pStyle w:val="TableParagraph"/>
              <w:spacing w:before="12"/>
              <w:ind w:left="183" w:right="176"/>
              <w:jc w:val="center"/>
              <w:rPr>
                <w:rFonts w:ascii="Times New Roman" w:eastAsia="標楷體" w:hAnsi="Times New Roman" w:cs="Times New Roman"/>
                <w:sz w:val="24"/>
              </w:rPr>
            </w:pPr>
            <w:r w:rsidRPr="00006668">
              <w:rPr>
                <w:rFonts w:ascii="Times New Roman" w:eastAsia="標楷體" w:hAnsi="Times New Roman" w:cs="Arial"/>
                <w:sz w:val="18"/>
                <w:szCs w:val="16"/>
              </w:rPr>
              <w:t xml:space="preserve">Meal and </w:t>
            </w:r>
            <w:r w:rsidRPr="009C2D6F">
              <w:rPr>
                <w:rFonts w:ascii="Times New Roman" w:eastAsia="標楷體" w:hAnsi="Times New Roman" w:cs="Arial"/>
                <w:sz w:val="18"/>
                <w:szCs w:val="16"/>
              </w:rPr>
              <w:t>miscellan</w:t>
            </w:r>
            <w:r w:rsidR="009C2D6F" w:rsidRPr="009C2D6F">
              <w:rPr>
                <w:rFonts w:ascii="Times New Roman" w:eastAsia="標楷體" w:hAnsi="Times New Roman" w:cs="Arial"/>
                <w:sz w:val="18"/>
                <w:szCs w:val="16"/>
              </w:rPr>
              <w:t>eous</w:t>
            </w:r>
            <w:r w:rsidRPr="00006668">
              <w:rPr>
                <w:rFonts w:ascii="Times New Roman" w:eastAsia="標楷體" w:hAnsi="Times New Roman" w:cs="Arial"/>
                <w:sz w:val="18"/>
                <w:szCs w:val="16"/>
              </w:rPr>
              <w:t xml:space="preserve"> fees</w:t>
            </w:r>
          </w:p>
        </w:tc>
        <w:tc>
          <w:tcPr>
            <w:tcW w:w="1275" w:type="dxa"/>
            <w:vAlign w:val="center"/>
          </w:tcPr>
          <w:p w14:paraId="31B05DD2" w14:textId="23078D39" w:rsidR="00E26BA5" w:rsidRPr="00BE5153" w:rsidRDefault="00841B9B" w:rsidP="00537CC0">
            <w:pPr>
              <w:pStyle w:val="TableParagraph"/>
              <w:spacing w:before="12"/>
              <w:ind w:leftChars="-52" w:left="-29" w:hangingChars="47" w:hanging="85"/>
              <w:jc w:val="center"/>
              <w:rPr>
                <w:rFonts w:ascii="Times New Roman" w:eastAsia="標楷體" w:hAnsi="Times New Roman" w:cs="Times New Roman"/>
                <w:sz w:val="24"/>
              </w:rPr>
            </w:pPr>
            <w:r w:rsidRPr="009C2D6F">
              <w:rPr>
                <w:rFonts w:ascii="Times New Roman" w:eastAsia="標楷體" w:hAnsi="Times New Roman" w:cs="Arial"/>
                <w:sz w:val="18"/>
                <w:szCs w:val="16"/>
              </w:rPr>
              <w:t>Accommodation expenses</w:t>
            </w:r>
          </w:p>
        </w:tc>
        <w:tc>
          <w:tcPr>
            <w:tcW w:w="859" w:type="dxa"/>
            <w:vAlign w:val="center"/>
          </w:tcPr>
          <w:p w14:paraId="560C18A8" w14:textId="73C18D22" w:rsidR="00E26BA5" w:rsidRPr="00BE5153" w:rsidRDefault="00841B9B" w:rsidP="00537CC0">
            <w:pPr>
              <w:pStyle w:val="TableParagraph"/>
              <w:spacing w:before="12"/>
              <w:ind w:left="-6"/>
              <w:jc w:val="center"/>
              <w:rPr>
                <w:rFonts w:ascii="Times New Roman" w:eastAsia="標楷體" w:hAnsi="Times New Roman" w:cs="Times New Roman"/>
                <w:sz w:val="24"/>
              </w:rPr>
            </w:pPr>
            <w:r w:rsidRPr="009C2D6F">
              <w:rPr>
                <w:rFonts w:ascii="Times New Roman" w:eastAsia="標楷體" w:hAnsi="Times New Roman" w:cs="Arial"/>
                <w:sz w:val="20"/>
                <w:szCs w:val="16"/>
              </w:rPr>
              <w:t>Total</w:t>
            </w:r>
          </w:p>
        </w:tc>
        <w:tc>
          <w:tcPr>
            <w:tcW w:w="3227" w:type="dxa"/>
            <w:vMerge/>
            <w:tcBorders>
              <w:top w:val="nil"/>
            </w:tcBorders>
            <w:vAlign w:val="center"/>
          </w:tcPr>
          <w:p w14:paraId="291AB6EE" w14:textId="77777777" w:rsidR="00E26BA5" w:rsidRPr="00BE5153" w:rsidRDefault="00E26BA5" w:rsidP="00537CC0">
            <w:pPr>
              <w:jc w:val="center"/>
              <w:rPr>
                <w:rFonts w:ascii="Times New Roman" w:eastAsia="標楷體" w:hAnsi="Times New Roman" w:cs="Times New Roman"/>
                <w:sz w:val="2"/>
                <w:szCs w:val="2"/>
              </w:rPr>
            </w:pPr>
          </w:p>
        </w:tc>
      </w:tr>
      <w:tr w:rsidR="00E26BA5" w:rsidRPr="00BE5153" w14:paraId="6A3623C8" w14:textId="77777777" w:rsidTr="00684373">
        <w:trPr>
          <w:trHeight w:val="2784"/>
        </w:trPr>
        <w:tc>
          <w:tcPr>
            <w:tcW w:w="2863" w:type="dxa"/>
            <w:vAlign w:val="center"/>
          </w:tcPr>
          <w:p w14:paraId="74F8348D" w14:textId="6F5C8054" w:rsidR="00E26BA5" w:rsidRPr="00BE5153" w:rsidRDefault="00841B9B" w:rsidP="00537CC0">
            <w:pPr>
              <w:pStyle w:val="TableParagraph"/>
              <w:spacing w:line="298" w:lineRule="exact"/>
              <w:ind w:left="26" w:right="14"/>
              <w:jc w:val="center"/>
              <w:rPr>
                <w:rFonts w:ascii="Times New Roman" w:eastAsia="標楷體" w:hAnsi="Times New Roman" w:cs="Times New Roman"/>
                <w:sz w:val="24"/>
              </w:rPr>
            </w:pPr>
            <w:r w:rsidRPr="00D92103">
              <w:rPr>
                <w:rFonts w:ascii="Times New Roman" w:eastAsia="標楷體" w:hAnsi="Times New Roman" w:cs="Arial"/>
                <w:sz w:val="20"/>
                <w:szCs w:val="16"/>
              </w:rPr>
              <w:t>Professor</w:t>
            </w:r>
          </w:p>
        </w:tc>
        <w:tc>
          <w:tcPr>
            <w:tcW w:w="1410" w:type="dxa"/>
            <w:vAlign w:val="center"/>
          </w:tcPr>
          <w:p w14:paraId="7104F876" w14:textId="77777777" w:rsidR="00E26BA5" w:rsidRPr="00BE5153" w:rsidRDefault="00841B9B" w:rsidP="00537CC0">
            <w:pPr>
              <w:pStyle w:val="TableParagraph"/>
              <w:spacing w:before="42"/>
              <w:ind w:left="183" w:right="176"/>
              <w:jc w:val="center"/>
              <w:rPr>
                <w:rFonts w:ascii="Times New Roman" w:eastAsia="標楷體" w:hAnsi="Times New Roman" w:cs="Times New Roman"/>
                <w:sz w:val="24"/>
              </w:rPr>
            </w:pPr>
            <w:r w:rsidRPr="00BE5153">
              <w:rPr>
                <w:rFonts w:ascii="Times New Roman" w:eastAsia="標楷體" w:hAnsi="Times New Roman" w:cs="Times New Roman"/>
                <w:sz w:val="24"/>
              </w:rPr>
              <w:t>400</w:t>
            </w:r>
          </w:p>
        </w:tc>
        <w:tc>
          <w:tcPr>
            <w:tcW w:w="1275" w:type="dxa"/>
            <w:vAlign w:val="center"/>
          </w:tcPr>
          <w:p w14:paraId="66BCBA2E" w14:textId="77777777" w:rsidR="00E26BA5" w:rsidRPr="00BE5153" w:rsidRDefault="00841B9B" w:rsidP="00537CC0">
            <w:pPr>
              <w:pStyle w:val="TableParagraph"/>
              <w:spacing w:before="42"/>
              <w:ind w:left="254" w:right="248"/>
              <w:jc w:val="center"/>
              <w:rPr>
                <w:rFonts w:ascii="Times New Roman" w:eastAsia="標楷體" w:hAnsi="Times New Roman" w:cs="Times New Roman"/>
                <w:sz w:val="24"/>
              </w:rPr>
            </w:pPr>
            <w:r w:rsidRPr="00BE5153">
              <w:rPr>
                <w:rFonts w:ascii="Times New Roman" w:eastAsia="標楷體" w:hAnsi="Times New Roman" w:cs="Times New Roman"/>
                <w:sz w:val="24"/>
              </w:rPr>
              <w:t>2,400</w:t>
            </w:r>
          </w:p>
        </w:tc>
        <w:tc>
          <w:tcPr>
            <w:tcW w:w="859" w:type="dxa"/>
            <w:vAlign w:val="center"/>
          </w:tcPr>
          <w:p w14:paraId="713F6587" w14:textId="77777777" w:rsidR="00E26BA5" w:rsidRPr="00BE5153" w:rsidRDefault="00841B9B" w:rsidP="00537CC0">
            <w:pPr>
              <w:pStyle w:val="TableParagraph"/>
              <w:spacing w:before="42"/>
              <w:ind w:left="-2"/>
              <w:jc w:val="center"/>
              <w:rPr>
                <w:rFonts w:ascii="Times New Roman" w:eastAsia="標楷體" w:hAnsi="Times New Roman" w:cs="Times New Roman"/>
                <w:sz w:val="24"/>
              </w:rPr>
            </w:pPr>
            <w:r w:rsidRPr="00BE5153">
              <w:rPr>
                <w:rFonts w:ascii="Times New Roman" w:eastAsia="標楷體" w:hAnsi="Times New Roman" w:cs="Times New Roman"/>
                <w:sz w:val="24"/>
              </w:rPr>
              <w:t>2,800</w:t>
            </w:r>
          </w:p>
        </w:tc>
        <w:tc>
          <w:tcPr>
            <w:tcW w:w="3227" w:type="dxa"/>
            <w:vMerge w:val="restart"/>
            <w:vAlign w:val="center"/>
          </w:tcPr>
          <w:p w14:paraId="2826DEAF" w14:textId="3890C618" w:rsidR="00E26BA5" w:rsidRPr="00BE5153" w:rsidRDefault="00684373" w:rsidP="00537CC0">
            <w:pPr>
              <w:pStyle w:val="TableParagraph"/>
              <w:numPr>
                <w:ilvl w:val="0"/>
                <w:numId w:val="1"/>
              </w:numPr>
              <w:tabs>
                <w:tab w:val="left" w:pos="211"/>
              </w:tabs>
              <w:spacing w:before="14"/>
              <w:ind w:hanging="182"/>
              <w:jc w:val="both"/>
              <w:rPr>
                <w:rFonts w:ascii="Times New Roman" w:eastAsia="標楷體" w:hAnsi="Times New Roman" w:cs="Times New Roman"/>
                <w:sz w:val="16"/>
                <w:szCs w:val="16"/>
              </w:rPr>
            </w:pPr>
            <w:r>
              <w:rPr>
                <w:rFonts w:ascii="Times New Roman" w:eastAsia="標楷體" w:hAnsi="Times New Roman" w:cs="Arial" w:hint="eastAsia"/>
                <w:sz w:val="20"/>
                <w:szCs w:val="16"/>
              </w:rPr>
              <w:t xml:space="preserve"> </w:t>
            </w:r>
            <w:r w:rsidR="00841B9B" w:rsidRPr="00D92103">
              <w:rPr>
                <w:rFonts w:ascii="Times New Roman" w:eastAsia="標楷體" w:hAnsi="Times New Roman" w:cs="Arial"/>
                <w:sz w:val="20"/>
                <w:szCs w:val="16"/>
              </w:rPr>
              <w:t>Unit: NT$.</w:t>
            </w:r>
          </w:p>
          <w:p w14:paraId="7639B61D" w14:textId="250C5A44" w:rsidR="00E26BA5" w:rsidRPr="00D92103" w:rsidRDefault="00684373" w:rsidP="00537CC0">
            <w:pPr>
              <w:pStyle w:val="TableParagraph"/>
              <w:numPr>
                <w:ilvl w:val="0"/>
                <w:numId w:val="1"/>
              </w:numPr>
              <w:tabs>
                <w:tab w:val="left" w:pos="211"/>
              </w:tabs>
              <w:spacing w:before="52" w:line="280" w:lineRule="auto"/>
              <w:ind w:left="269" w:right="109" w:hanging="240"/>
              <w:jc w:val="both"/>
              <w:rPr>
                <w:rFonts w:ascii="Times New Roman" w:eastAsia="標楷體" w:hAnsi="Times New Roman" w:cs="Times New Roman"/>
                <w:sz w:val="18"/>
                <w:szCs w:val="16"/>
              </w:rPr>
            </w:pPr>
            <w:r>
              <w:rPr>
                <w:rFonts w:ascii="Times New Roman" w:eastAsia="標楷體" w:hAnsi="Times New Roman" w:cs="Arial" w:hint="eastAsia"/>
                <w:sz w:val="20"/>
                <w:szCs w:val="16"/>
              </w:rPr>
              <w:t xml:space="preserve"> </w:t>
            </w:r>
            <w:r w:rsidR="00841B9B" w:rsidRPr="00F617C5">
              <w:rPr>
                <w:rFonts w:ascii="Times New Roman" w:eastAsia="標楷體" w:hAnsi="Times New Roman" w:cs="Arial"/>
                <w:sz w:val="20"/>
                <w:szCs w:val="16"/>
              </w:rPr>
              <w:t xml:space="preserve">Accommodation fees shall be </w:t>
            </w:r>
            <w:r w:rsidR="0073167F" w:rsidRPr="00F617C5">
              <w:rPr>
                <w:rFonts w:ascii="Times New Roman" w:eastAsia="標楷體" w:hAnsi="Times New Roman" w:cs="Arial"/>
                <w:sz w:val="20"/>
                <w:szCs w:val="16"/>
              </w:rPr>
              <w:t xml:space="preserve">reimbursed </w:t>
            </w:r>
            <w:r w:rsidR="00841B9B" w:rsidRPr="00F617C5">
              <w:rPr>
                <w:rFonts w:ascii="Times New Roman" w:eastAsia="標楷體" w:hAnsi="Times New Roman" w:cs="Arial"/>
                <w:sz w:val="20"/>
                <w:szCs w:val="16"/>
              </w:rPr>
              <w:t xml:space="preserve">by obtaining a </w:t>
            </w:r>
            <w:r w:rsidR="00B61068" w:rsidRPr="00F617C5">
              <w:rPr>
                <w:rFonts w:ascii="Times New Roman" w:eastAsia="標楷體" w:hAnsi="Times New Roman" w:cs="Arial"/>
                <w:sz w:val="20"/>
                <w:szCs w:val="16"/>
              </w:rPr>
              <w:t xml:space="preserve">uniform </w:t>
            </w:r>
            <w:r w:rsidR="00841B9B" w:rsidRPr="00F617C5">
              <w:rPr>
                <w:rFonts w:ascii="Times New Roman" w:eastAsia="標楷體" w:hAnsi="Times New Roman" w:cs="Arial"/>
                <w:sz w:val="20"/>
                <w:szCs w:val="16"/>
              </w:rPr>
              <w:t>invoice or receipt from the hotel operator with the name of KMU</w:t>
            </w:r>
            <w:r w:rsidR="00F617C5">
              <w:rPr>
                <w:rFonts w:ascii="Times New Roman" w:eastAsia="標楷體" w:hAnsi="Times New Roman" w:cs="Arial"/>
                <w:sz w:val="20"/>
                <w:szCs w:val="16"/>
              </w:rPr>
              <w:t>. Still, the</w:t>
            </w:r>
            <w:r w:rsidR="00841B9B" w:rsidRPr="00F617C5">
              <w:rPr>
                <w:rFonts w:ascii="Times New Roman" w:eastAsia="標楷體" w:hAnsi="Times New Roman" w:cs="Arial"/>
                <w:sz w:val="20"/>
                <w:szCs w:val="16"/>
              </w:rPr>
              <w:t xml:space="preserve"> amount shall not exceed the standards specified in the annex.</w:t>
            </w:r>
          </w:p>
          <w:p w14:paraId="1F0C6EDF" w14:textId="1A79BAE0" w:rsidR="00E26BA5" w:rsidRPr="00BE5153" w:rsidRDefault="00684373" w:rsidP="00537CC0">
            <w:pPr>
              <w:pStyle w:val="TableParagraph"/>
              <w:numPr>
                <w:ilvl w:val="0"/>
                <w:numId w:val="1"/>
              </w:numPr>
              <w:tabs>
                <w:tab w:val="left" w:pos="211"/>
              </w:tabs>
              <w:spacing w:before="2" w:line="280" w:lineRule="auto"/>
              <w:ind w:left="269" w:hanging="240"/>
              <w:jc w:val="both"/>
              <w:rPr>
                <w:rFonts w:ascii="Times New Roman" w:eastAsia="標楷體" w:hAnsi="Times New Roman" w:cs="Times New Roman"/>
                <w:sz w:val="16"/>
                <w:szCs w:val="16"/>
              </w:rPr>
            </w:pPr>
            <w:r>
              <w:rPr>
                <w:rFonts w:ascii="Times New Roman" w:eastAsia="標楷體" w:hAnsi="Times New Roman" w:cs="Arial" w:hint="eastAsia"/>
                <w:sz w:val="20"/>
                <w:szCs w:val="16"/>
              </w:rPr>
              <w:t xml:space="preserve"> </w:t>
            </w:r>
            <w:r w:rsidR="00841B9B" w:rsidRPr="00D92103">
              <w:rPr>
                <w:rFonts w:ascii="Times New Roman" w:eastAsia="標楷體" w:hAnsi="Times New Roman" w:cs="Arial"/>
                <w:sz w:val="20"/>
                <w:szCs w:val="16"/>
              </w:rPr>
              <w:t xml:space="preserve">If the </w:t>
            </w:r>
            <w:r w:rsidR="00177168" w:rsidRPr="00D92103">
              <w:rPr>
                <w:rFonts w:ascii="Times New Roman" w:eastAsia="標楷體" w:hAnsi="Times New Roman" w:cs="Arial"/>
                <w:sz w:val="20"/>
                <w:szCs w:val="16"/>
              </w:rPr>
              <w:t>destination</w:t>
            </w:r>
            <w:r w:rsidR="00841B9B" w:rsidRPr="00D92103">
              <w:rPr>
                <w:rFonts w:ascii="Times New Roman" w:eastAsia="標楷體" w:hAnsi="Times New Roman" w:cs="Arial"/>
                <w:sz w:val="20"/>
                <w:szCs w:val="16"/>
              </w:rPr>
              <w:t xml:space="preserve"> of </w:t>
            </w:r>
            <w:r w:rsidR="00F617C5">
              <w:rPr>
                <w:rFonts w:ascii="Times New Roman" w:eastAsia="標楷體" w:hAnsi="Times New Roman" w:cs="Arial"/>
                <w:sz w:val="20"/>
                <w:szCs w:val="16"/>
              </w:rPr>
              <w:t xml:space="preserve">the </w:t>
            </w:r>
            <w:r w:rsidR="00841B9B" w:rsidRPr="00D92103">
              <w:rPr>
                <w:rFonts w:ascii="Times New Roman" w:eastAsia="標楷體" w:hAnsi="Times New Roman" w:cs="Arial"/>
                <w:sz w:val="20"/>
                <w:szCs w:val="16"/>
              </w:rPr>
              <w:t xml:space="preserve">business trip is more than 60 kilometers away from KMU, and there is a fact of accommodation in the place of </w:t>
            </w:r>
            <w:r w:rsidR="00F617C5">
              <w:rPr>
                <w:rFonts w:ascii="Times New Roman" w:eastAsia="標楷體" w:hAnsi="Times New Roman" w:cs="Arial"/>
                <w:sz w:val="20"/>
                <w:szCs w:val="16"/>
              </w:rPr>
              <w:t xml:space="preserve">the </w:t>
            </w:r>
            <w:r w:rsidR="00841B9B" w:rsidRPr="00D92103">
              <w:rPr>
                <w:rFonts w:ascii="Times New Roman" w:eastAsia="標楷體" w:hAnsi="Times New Roman" w:cs="Arial"/>
                <w:sz w:val="20"/>
                <w:szCs w:val="16"/>
              </w:rPr>
              <w:t xml:space="preserve">business trip, the accommodation fee may be </w:t>
            </w:r>
            <w:r w:rsidR="00B70A2C" w:rsidRPr="00D92103">
              <w:rPr>
                <w:rFonts w:ascii="Times New Roman" w:eastAsia="標楷體" w:hAnsi="Times New Roman" w:cs="Arial"/>
                <w:sz w:val="20"/>
                <w:szCs w:val="16"/>
              </w:rPr>
              <w:t>subsidized</w:t>
            </w:r>
            <w:r w:rsidR="00841B9B" w:rsidRPr="00D92103">
              <w:rPr>
                <w:rFonts w:ascii="Times New Roman" w:eastAsia="標楷體" w:hAnsi="Times New Roman" w:cs="Arial"/>
                <w:sz w:val="20"/>
                <w:szCs w:val="16"/>
              </w:rPr>
              <w:t xml:space="preserve"> within the standard amount for each job level listed in the annex upon verification. If the </w:t>
            </w:r>
            <w:r w:rsidR="00177168" w:rsidRPr="00D92103">
              <w:rPr>
                <w:rFonts w:ascii="Times New Roman" w:eastAsia="標楷體" w:hAnsi="Times New Roman" w:cs="Arial"/>
                <w:sz w:val="20"/>
                <w:szCs w:val="16"/>
              </w:rPr>
              <w:t>destination</w:t>
            </w:r>
            <w:r w:rsidR="00841B9B" w:rsidRPr="00D92103">
              <w:rPr>
                <w:rFonts w:ascii="Times New Roman" w:eastAsia="標楷體" w:hAnsi="Times New Roman" w:cs="Arial"/>
                <w:sz w:val="20"/>
                <w:szCs w:val="16"/>
              </w:rPr>
              <w:t xml:space="preserve"> of </w:t>
            </w:r>
            <w:r w:rsidR="001872A3" w:rsidRPr="00D92103">
              <w:rPr>
                <w:rFonts w:ascii="Times New Roman" w:eastAsia="標楷體" w:hAnsi="Times New Roman" w:cs="Arial"/>
                <w:sz w:val="20"/>
                <w:szCs w:val="16"/>
              </w:rPr>
              <w:t xml:space="preserve">the </w:t>
            </w:r>
            <w:r w:rsidR="00841B9B" w:rsidRPr="00D92103">
              <w:rPr>
                <w:rFonts w:ascii="Times New Roman" w:eastAsia="標楷體" w:hAnsi="Times New Roman" w:cs="Arial"/>
                <w:sz w:val="20"/>
                <w:szCs w:val="16"/>
              </w:rPr>
              <w:t xml:space="preserve">business trip is less than 60 kilometers away from KMU, only those who have been approved in advance </w:t>
            </w:r>
            <w:r w:rsidR="00F43924" w:rsidRPr="00D92103">
              <w:rPr>
                <w:rFonts w:ascii="Times New Roman" w:eastAsia="標楷體" w:hAnsi="Times New Roman" w:cs="Arial"/>
                <w:sz w:val="20"/>
                <w:szCs w:val="16"/>
              </w:rPr>
              <w:t xml:space="preserve">due to business needs </w:t>
            </w:r>
            <w:r w:rsidR="00841B9B" w:rsidRPr="00D92103">
              <w:rPr>
                <w:rFonts w:ascii="Times New Roman" w:eastAsia="標楷體" w:hAnsi="Times New Roman" w:cs="Arial"/>
                <w:sz w:val="20"/>
                <w:szCs w:val="16"/>
              </w:rPr>
              <w:t xml:space="preserve">and have the facts of accommodation in the place of </w:t>
            </w:r>
            <w:r w:rsidR="00F617C5">
              <w:rPr>
                <w:rFonts w:ascii="Times New Roman" w:eastAsia="標楷體" w:hAnsi="Times New Roman" w:cs="Arial"/>
                <w:sz w:val="20"/>
                <w:szCs w:val="16"/>
              </w:rPr>
              <w:t xml:space="preserve">the </w:t>
            </w:r>
            <w:r w:rsidR="00841B9B" w:rsidRPr="00D92103">
              <w:rPr>
                <w:rFonts w:ascii="Times New Roman" w:eastAsia="標楷體" w:hAnsi="Times New Roman" w:cs="Arial"/>
                <w:sz w:val="20"/>
                <w:szCs w:val="16"/>
              </w:rPr>
              <w:t xml:space="preserve">business trip can claim accommodation fees. Those who are provided by the </w:t>
            </w:r>
            <w:r w:rsidR="00F43924" w:rsidRPr="00D92103">
              <w:rPr>
                <w:rFonts w:ascii="Times New Roman" w:eastAsia="標楷體" w:hAnsi="Times New Roman" w:cs="Arial"/>
                <w:sz w:val="20"/>
                <w:szCs w:val="16"/>
              </w:rPr>
              <w:t>organizer</w:t>
            </w:r>
            <w:r w:rsidR="00841B9B" w:rsidRPr="00D92103">
              <w:rPr>
                <w:rFonts w:ascii="Times New Roman" w:eastAsia="標楷體" w:hAnsi="Times New Roman" w:cs="Arial"/>
                <w:sz w:val="20"/>
                <w:szCs w:val="16"/>
              </w:rPr>
              <w:t xml:space="preserve"> with free accommodation are not allowed to claim accommodation fees.</w:t>
            </w:r>
          </w:p>
          <w:p w14:paraId="776EA17D" w14:textId="5CAE3D39" w:rsidR="00E26BA5" w:rsidRPr="00BE5153" w:rsidRDefault="00841B9B" w:rsidP="00537CC0">
            <w:pPr>
              <w:pStyle w:val="TableParagraph"/>
              <w:numPr>
                <w:ilvl w:val="0"/>
                <w:numId w:val="1"/>
              </w:numPr>
              <w:tabs>
                <w:tab w:val="left" w:pos="211"/>
              </w:tabs>
              <w:spacing w:before="3" w:line="280" w:lineRule="auto"/>
              <w:ind w:left="269" w:right="13" w:hanging="240"/>
              <w:jc w:val="both"/>
              <w:rPr>
                <w:rFonts w:ascii="Times New Roman" w:eastAsia="標楷體" w:hAnsi="Times New Roman" w:cs="Times New Roman"/>
                <w:sz w:val="24"/>
              </w:rPr>
            </w:pPr>
            <w:r w:rsidRPr="00D92103">
              <w:rPr>
                <w:rFonts w:ascii="Times New Roman" w:eastAsia="標楷體" w:hAnsi="Times New Roman" w:cs="Arial"/>
                <w:sz w:val="20"/>
                <w:szCs w:val="16"/>
              </w:rPr>
              <w:t>The</w:t>
            </w:r>
            <w:r w:rsidR="00D92103" w:rsidRPr="00D92103">
              <w:rPr>
                <w:rFonts w:ascii="Times New Roman" w:eastAsia="標楷體" w:hAnsi="Times New Roman" w:cs="Arial"/>
                <w:sz w:val="20"/>
                <w:szCs w:val="16"/>
              </w:rPr>
              <w:t xml:space="preserve"> </w:t>
            </w:r>
            <w:r w:rsidR="008A0321" w:rsidRPr="00D92103">
              <w:rPr>
                <w:rFonts w:ascii="Times New Roman" w:eastAsia="標楷體" w:hAnsi="Times New Roman" w:cs="Arial"/>
                <w:sz w:val="20"/>
                <w:szCs w:val="16"/>
              </w:rPr>
              <w:t>principal</w:t>
            </w:r>
            <w:r w:rsidR="00C11D30" w:rsidRPr="00D92103">
              <w:rPr>
                <w:rFonts w:ascii="Times New Roman" w:eastAsia="標楷體" w:hAnsi="Times New Roman" w:cs="Arial"/>
                <w:sz w:val="20"/>
                <w:szCs w:val="16"/>
              </w:rPr>
              <w:t xml:space="preserve"> investigators </w:t>
            </w:r>
            <w:r w:rsidRPr="00D92103">
              <w:rPr>
                <w:rFonts w:ascii="Times New Roman" w:eastAsia="標楷體" w:hAnsi="Times New Roman" w:cs="Arial"/>
                <w:sz w:val="20"/>
                <w:szCs w:val="16"/>
              </w:rPr>
              <w:t xml:space="preserve">of KMU's projects </w:t>
            </w:r>
            <w:r w:rsidR="00C11D30" w:rsidRPr="00D92103">
              <w:rPr>
                <w:rFonts w:ascii="Times New Roman" w:eastAsia="標楷體" w:hAnsi="Times New Roman" w:cs="Arial"/>
                <w:sz w:val="20"/>
                <w:szCs w:val="16"/>
              </w:rPr>
              <w:t>may</w:t>
            </w:r>
            <w:r w:rsidRPr="00D92103">
              <w:rPr>
                <w:rFonts w:ascii="Times New Roman" w:eastAsia="標楷體" w:hAnsi="Times New Roman" w:cs="Arial"/>
                <w:sz w:val="20"/>
                <w:szCs w:val="16"/>
              </w:rPr>
              <w:t xml:space="preserve"> </w:t>
            </w:r>
            <w:r w:rsidR="00DA20B9" w:rsidRPr="00D92103">
              <w:rPr>
                <w:rFonts w:ascii="Times New Roman" w:eastAsia="標楷體" w:hAnsi="Times New Roman" w:cs="Arial"/>
                <w:sz w:val="20"/>
                <w:szCs w:val="16"/>
              </w:rPr>
              <w:t>claim expenses</w:t>
            </w:r>
            <w:r w:rsidR="00D92103" w:rsidRPr="00D92103">
              <w:rPr>
                <w:rFonts w:ascii="Times New Roman" w:eastAsia="標楷體" w:hAnsi="Times New Roman" w:cs="Arial"/>
                <w:sz w:val="20"/>
                <w:szCs w:val="16"/>
              </w:rPr>
              <w:t xml:space="preserve"> </w:t>
            </w:r>
            <w:r w:rsidRPr="00D92103">
              <w:rPr>
                <w:rFonts w:ascii="Times New Roman" w:eastAsia="標楷體" w:hAnsi="Times New Roman" w:cs="Arial"/>
                <w:sz w:val="20"/>
                <w:szCs w:val="16"/>
              </w:rPr>
              <w:t xml:space="preserve">according to </w:t>
            </w:r>
            <w:r w:rsidR="002F1641" w:rsidRPr="00D92103">
              <w:rPr>
                <w:rFonts w:ascii="Times New Roman" w:eastAsia="標楷體" w:hAnsi="Times New Roman" w:cs="Arial"/>
                <w:sz w:val="20"/>
                <w:szCs w:val="16"/>
              </w:rPr>
              <w:t>the standards for academic positions</w:t>
            </w:r>
            <w:r w:rsidRPr="00D92103">
              <w:rPr>
                <w:rFonts w:ascii="Times New Roman" w:eastAsia="標楷體" w:hAnsi="Times New Roman" w:cs="Arial"/>
                <w:sz w:val="20"/>
                <w:szCs w:val="16"/>
              </w:rPr>
              <w:t>, and the research assistants</w:t>
            </w:r>
            <w:r w:rsidR="00D92103" w:rsidRPr="00D92103">
              <w:rPr>
                <w:rFonts w:ascii="Times New Roman" w:eastAsia="標楷體" w:hAnsi="Times New Roman" w:cs="Arial"/>
                <w:sz w:val="20"/>
                <w:szCs w:val="16"/>
              </w:rPr>
              <w:t xml:space="preserve"> </w:t>
            </w:r>
            <w:r w:rsidR="002F1641" w:rsidRPr="00D92103">
              <w:rPr>
                <w:rFonts w:ascii="Times New Roman" w:eastAsia="標楷體" w:hAnsi="Times New Roman" w:cs="Arial"/>
                <w:sz w:val="20"/>
                <w:szCs w:val="16"/>
              </w:rPr>
              <w:t>may process them according to the standards for clerks.</w:t>
            </w:r>
          </w:p>
        </w:tc>
      </w:tr>
      <w:tr w:rsidR="00E26BA5" w:rsidRPr="00BE5153" w14:paraId="3E8CB78C" w14:textId="77777777" w:rsidTr="00684373">
        <w:trPr>
          <w:trHeight w:val="359"/>
        </w:trPr>
        <w:tc>
          <w:tcPr>
            <w:tcW w:w="2863" w:type="dxa"/>
            <w:vAlign w:val="center"/>
          </w:tcPr>
          <w:p w14:paraId="3A0794BC" w14:textId="09BB63DB" w:rsidR="00E26BA5" w:rsidRPr="00BE5153" w:rsidRDefault="00841B9B" w:rsidP="00537CC0">
            <w:pPr>
              <w:pStyle w:val="TableParagraph"/>
              <w:spacing w:line="260" w:lineRule="exact"/>
              <w:ind w:left="28" w:right="11"/>
              <w:jc w:val="center"/>
              <w:rPr>
                <w:rFonts w:ascii="Times New Roman" w:eastAsia="標楷體" w:hAnsi="Times New Roman" w:cs="Times New Roman"/>
                <w:sz w:val="24"/>
              </w:rPr>
            </w:pPr>
            <w:r w:rsidRPr="00D92103">
              <w:rPr>
                <w:rFonts w:ascii="Times New Roman" w:eastAsia="標楷體" w:hAnsi="Times New Roman" w:cs="Arial"/>
                <w:sz w:val="20"/>
                <w:szCs w:val="16"/>
              </w:rPr>
              <w:t>Associate professor, assistant professor, lecturer</w:t>
            </w:r>
          </w:p>
        </w:tc>
        <w:tc>
          <w:tcPr>
            <w:tcW w:w="1410" w:type="dxa"/>
            <w:vAlign w:val="center"/>
          </w:tcPr>
          <w:p w14:paraId="4FE1CB69" w14:textId="77777777" w:rsidR="00E26BA5" w:rsidRPr="00BE5153" w:rsidRDefault="00841B9B" w:rsidP="00537CC0">
            <w:pPr>
              <w:pStyle w:val="TableParagraph"/>
              <w:spacing w:before="39"/>
              <w:ind w:left="183" w:right="176"/>
              <w:jc w:val="center"/>
              <w:rPr>
                <w:rFonts w:ascii="Times New Roman" w:eastAsia="標楷體" w:hAnsi="Times New Roman" w:cs="Times New Roman"/>
                <w:sz w:val="24"/>
              </w:rPr>
            </w:pPr>
            <w:r w:rsidRPr="00BE5153">
              <w:rPr>
                <w:rFonts w:ascii="Times New Roman" w:eastAsia="標楷體" w:hAnsi="Times New Roman" w:cs="Times New Roman"/>
                <w:sz w:val="24"/>
              </w:rPr>
              <w:t>400</w:t>
            </w:r>
          </w:p>
        </w:tc>
        <w:tc>
          <w:tcPr>
            <w:tcW w:w="1275" w:type="dxa"/>
            <w:vAlign w:val="center"/>
          </w:tcPr>
          <w:p w14:paraId="24455031" w14:textId="77777777" w:rsidR="00E26BA5" w:rsidRPr="00BE5153" w:rsidRDefault="00841B9B" w:rsidP="00537CC0">
            <w:pPr>
              <w:pStyle w:val="TableParagraph"/>
              <w:spacing w:before="39"/>
              <w:ind w:left="254" w:right="248"/>
              <w:jc w:val="center"/>
              <w:rPr>
                <w:rFonts w:ascii="Times New Roman" w:eastAsia="標楷體" w:hAnsi="Times New Roman" w:cs="Times New Roman"/>
                <w:sz w:val="24"/>
              </w:rPr>
            </w:pPr>
            <w:r w:rsidRPr="00BE5153">
              <w:rPr>
                <w:rFonts w:ascii="Times New Roman" w:eastAsia="標楷體" w:hAnsi="Times New Roman" w:cs="Times New Roman"/>
                <w:sz w:val="24"/>
              </w:rPr>
              <w:t>2,300</w:t>
            </w:r>
          </w:p>
        </w:tc>
        <w:tc>
          <w:tcPr>
            <w:tcW w:w="859" w:type="dxa"/>
            <w:vAlign w:val="center"/>
          </w:tcPr>
          <w:p w14:paraId="12222180" w14:textId="77777777" w:rsidR="00E26BA5" w:rsidRPr="00BE5153" w:rsidRDefault="00841B9B" w:rsidP="00537CC0">
            <w:pPr>
              <w:pStyle w:val="TableParagraph"/>
              <w:spacing w:before="39"/>
              <w:ind w:left="-2"/>
              <w:jc w:val="center"/>
              <w:rPr>
                <w:rFonts w:ascii="Times New Roman" w:eastAsia="標楷體" w:hAnsi="Times New Roman" w:cs="Times New Roman"/>
                <w:sz w:val="24"/>
              </w:rPr>
            </w:pPr>
            <w:r w:rsidRPr="00BE5153">
              <w:rPr>
                <w:rFonts w:ascii="Times New Roman" w:eastAsia="標楷體" w:hAnsi="Times New Roman" w:cs="Times New Roman"/>
                <w:sz w:val="24"/>
              </w:rPr>
              <w:t>2,700</w:t>
            </w:r>
          </w:p>
        </w:tc>
        <w:tc>
          <w:tcPr>
            <w:tcW w:w="3227" w:type="dxa"/>
            <w:vMerge/>
            <w:tcBorders>
              <w:top w:val="nil"/>
            </w:tcBorders>
            <w:vAlign w:val="center"/>
          </w:tcPr>
          <w:p w14:paraId="426BD9BB" w14:textId="77777777" w:rsidR="00E26BA5" w:rsidRPr="00BE5153" w:rsidRDefault="00E26BA5" w:rsidP="00537CC0">
            <w:pPr>
              <w:jc w:val="center"/>
              <w:rPr>
                <w:rFonts w:ascii="Times New Roman" w:eastAsia="標楷體" w:hAnsi="Times New Roman" w:cs="Times New Roman"/>
                <w:sz w:val="2"/>
                <w:szCs w:val="2"/>
              </w:rPr>
            </w:pPr>
          </w:p>
        </w:tc>
      </w:tr>
      <w:tr w:rsidR="00E26BA5" w:rsidRPr="00BE5153" w14:paraId="17F9163D" w14:textId="77777777" w:rsidTr="00684373">
        <w:trPr>
          <w:trHeight w:val="623"/>
        </w:trPr>
        <w:tc>
          <w:tcPr>
            <w:tcW w:w="2863" w:type="dxa"/>
            <w:vAlign w:val="center"/>
          </w:tcPr>
          <w:p w14:paraId="376A3CD1" w14:textId="74F26C5F" w:rsidR="00E26BA5" w:rsidRPr="00BE5153" w:rsidRDefault="00841B9B" w:rsidP="00537CC0">
            <w:pPr>
              <w:pStyle w:val="TableParagraph"/>
              <w:spacing w:line="295" w:lineRule="exact"/>
              <w:ind w:left="26" w:right="14"/>
              <w:jc w:val="center"/>
              <w:rPr>
                <w:rFonts w:ascii="Times New Roman" w:eastAsia="標楷體" w:hAnsi="Times New Roman" w:cs="Times New Roman"/>
                <w:color w:val="FF0000"/>
                <w:sz w:val="16"/>
                <w:szCs w:val="16"/>
                <w:u w:val="single"/>
              </w:rPr>
            </w:pPr>
            <w:r w:rsidRPr="00F617C5">
              <w:rPr>
                <w:rFonts w:ascii="Times New Roman" w:eastAsia="標楷體" w:hAnsi="Times New Roman" w:cs="Arial"/>
                <w:sz w:val="18"/>
                <w:szCs w:val="16"/>
              </w:rPr>
              <w:t xml:space="preserve">Director, secretary, </w:t>
            </w:r>
            <w:r w:rsidR="003B7300" w:rsidRPr="00F617C5">
              <w:rPr>
                <w:rFonts w:ascii="Times New Roman" w:eastAsia="標楷體" w:hAnsi="Times New Roman" w:cs="Arial"/>
                <w:sz w:val="18"/>
                <w:szCs w:val="16"/>
              </w:rPr>
              <w:t>executive officer</w:t>
            </w:r>
            <w:r w:rsidR="00F617C5">
              <w:rPr>
                <w:rFonts w:ascii="Times New Roman" w:eastAsia="標楷體" w:hAnsi="Times New Roman" w:cs="Arial"/>
                <w:sz w:val="18"/>
                <w:szCs w:val="16"/>
              </w:rPr>
              <w:t>,</w:t>
            </w:r>
          </w:p>
          <w:p w14:paraId="01ABF84B" w14:textId="553A6F17" w:rsidR="00E26BA5" w:rsidRPr="00BE5153" w:rsidRDefault="003B7300" w:rsidP="00537CC0">
            <w:pPr>
              <w:pStyle w:val="TableParagraph"/>
              <w:spacing w:before="4" w:line="240" w:lineRule="exact"/>
              <w:ind w:left="28" w:right="11"/>
              <w:jc w:val="center"/>
              <w:rPr>
                <w:rFonts w:ascii="Times New Roman" w:eastAsia="標楷體" w:hAnsi="Times New Roman" w:cs="Times New Roman"/>
                <w:sz w:val="24"/>
              </w:rPr>
            </w:pPr>
            <w:r w:rsidRPr="00F617C5">
              <w:rPr>
                <w:rFonts w:ascii="Times New Roman" w:eastAsia="標楷體" w:hAnsi="Times New Roman" w:cs="Arial"/>
                <w:color w:val="000000" w:themeColor="text1"/>
                <w:sz w:val="18"/>
                <w:szCs w:val="16"/>
              </w:rPr>
              <w:t>s</w:t>
            </w:r>
            <w:r w:rsidR="00841B9B" w:rsidRPr="00F617C5">
              <w:rPr>
                <w:rFonts w:ascii="Times New Roman" w:eastAsia="標楷體" w:hAnsi="Times New Roman" w:cs="Arial"/>
                <w:color w:val="000000" w:themeColor="text1"/>
                <w:sz w:val="18"/>
                <w:szCs w:val="16"/>
              </w:rPr>
              <w:t xml:space="preserve">enior </w:t>
            </w:r>
            <w:r w:rsidRPr="00F617C5">
              <w:rPr>
                <w:rFonts w:ascii="Times New Roman" w:eastAsia="標楷體" w:hAnsi="Times New Roman" w:cs="Arial"/>
                <w:color w:val="000000" w:themeColor="text1"/>
                <w:sz w:val="18"/>
                <w:szCs w:val="16"/>
              </w:rPr>
              <w:t>officer</w:t>
            </w:r>
            <w:r w:rsidR="00841B9B" w:rsidRPr="00F617C5">
              <w:rPr>
                <w:rFonts w:ascii="Times New Roman" w:eastAsia="標楷體" w:hAnsi="Times New Roman" w:cs="Arial"/>
                <w:color w:val="000000" w:themeColor="text1"/>
                <w:sz w:val="18"/>
                <w:szCs w:val="16"/>
              </w:rPr>
              <w:t xml:space="preserve"> and technical specialist</w:t>
            </w:r>
          </w:p>
        </w:tc>
        <w:tc>
          <w:tcPr>
            <w:tcW w:w="1410" w:type="dxa"/>
            <w:vAlign w:val="center"/>
          </w:tcPr>
          <w:p w14:paraId="3D610AF8" w14:textId="77777777" w:rsidR="00E26BA5" w:rsidRPr="00BE5153" w:rsidRDefault="00841B9B" w:rsidP="00537CC0">
            <w:pPr>
              <w:pStyle w:val="TableParagraph"/>
              <w:spacing w:before="171"/>
              <w:ind w:left="183" w:right="176"/>
              <w:jc w:val="center"/>
              <w:rPr>
                <w:rFonts w:ascii="Times New Roman" w:eastAsia="標楷體" w:hAnsi="Times New Roman" w:cs="Times New Roman"/>
                <w:sz w:val="24"/>
              </w:rPr>
            </w:pPr>
            <w:r w:rsidRPr="00BE5153">
              <w:rPr>
                <w:rFonts w:ascii="Times New Roman" w:eastAsia="標楷體" w:hAnsi="Times New Roman" w:cs="Times New Roman"/>
                <w:sz w:val="24"/>
              </w:rPr>
              <w:t>400</w:t>
            </w:r>
          </w:p>
        </w:tc>
        <w:tc>
          <w:tcPr>
            <w:tcW w:w="1275" w:type="dxa"/>
            <w:vAlign w:val="center"/>
          </w:tcPr>
          <w:p w14:paraId="4EEEAF00" w14:textId="77777777" w:rsidR="00E26BA5" w:rsidRPr="00BE5153" w:rsidRDefault="00841B9B" w:rsidP="00537CC0">
            <w:pPr>
              <w:pStyle w:val="TableParagraph"/>
              <w:spacing w:before="171"/>
              <w:ind w:left="254" w:right="248"/>
              <w:jc w:val="center"/>
              <w:rPr>
                <w:rFonts w:ascii="Times New Roman" w:eastAsia="標楷體" w:hAnsi="Times New Roman" w:cs="Times New Roman"/>
                <w:sz w:val="24"/>
              </w:rPr>
            </w:pPr>
            <w:r w:rsidRPr="00BE5153">
              <w:rPr>
                <w:rFonts w:ascii="Times New Roman" w:eastAsia="標楷體" w:hAnsi="Times New Roman" w:cs="Times New Roman"/>
                <w:sz w:val="24"/>
              </w:rPr>
              <w:t>2,200</w:t>
            </w:r>
          </w:p>
        </w:tc>
        <w:tc>
          <w:tcPr>
            <w:tcW w:w="859" w:type="dxa"/>
            <w:vAlign w:val="center"/>
          </w:tcPr>
          <w:p w14:paraId="35BC7ADA" w14:textId="77777777" w:rsidR="00E26BA5" w:rsidRPr="00BE5153" w:rsidRDefault="00841B9B" w:rsidP="00537CC0">
            <w:pPr>
              <w:pStyle w:val="TableParagraph"/>
              <w:spacing w:before="171"/>
              <w:ind w:left="-2"/>
              <w:jc w:val="center"/>
              <w:rPr>
                <w:rFonts w:ascii="Times New Roman" w:eastAsia="標楷體" w:hAnsi="Times New Roman" w:cs="Times New Roman"/>
                <w:sz w:val="24"/>
              </w:rPr>
            </w:pPr>
            <w:r w:rsidRPr="00BE5153">
              <w:rPr>
                <w:rFonts w:ascii="Times New Roman" w:eastAsia="標楷體" w:hAnsi="Times New Roman" w:cs="Times New Roman"/>
                <w:sz w:val="24"/>
              </w:rPr>
              <w:t>2,600</w:t>
            </w:r>
          </w:p>
        </w:tc>
        <w:tc>
          <w:tcPr>
            <w:tcW w:w="3227" w:type="dxa"/>
            <w:vMerge/>
            <w:tcBorders>
              <w:top w:val="nil"/>
            </w:tcBorders>
            <w:vAlign w:val="center"/>
          </w:tcPr>
          <w:p w14:paraId="1AC1CD99" w14:textId="77777777" w:rsidR="00E26BA5" w:rsidRPr="00BE5153" w:rsidRDefault="00E26BA5" w:rsidP="00537CC0">
            <w:pPr>
              <w:jc w:val="center"/>
              <w:rPr>
                <w:rFonts w:ascii="Times New Roman" w:eastAsia="標楷體" w:hAnsi="Times New Roman" w:cs="Times New Roman"/>
                <w:sz w:val="2"/>
                <w:szCs w:val="2"/>
              </w:rPr>
            </w:pPr>
          </w:p>
        </w:tc>
      </w:tr>
      <w:tr w:rsidR="00E26BA5" w:rsidRPr="00BE5153" w14:paraId="60FB7BD5" w14:textId="77777777" w:rsidTr="00684373">
        <w:trPr>
          <w:trHeight w:val="717"/>
        </w:trPr>
        <w:tc>
          <w:tcPr>
            <w:tcW w:w="2863" w:type="dxa"/>
            <w:vAlign w:val="center"/>
          </w:tcPr>
          <w:p w14:paraId="49D6E9B7" w14:textId="133471F9" w:rsidR="00E26BA5" w:rsidRPr="00BE5153" w:rsidRDefault="00841B9B" w:rsidP="00537CC0">
            <w:pPr>
              <w:pStyle w:val="TableParagraph"/>
              <w:spacing w:line="242" w:lineRule="auto"/>
              <w:ind w:left="352" w:right="1" w:hanging="324"/>
              <w:jc w:val="center"/>
              <w:rPr>
                <w:rFonts w:ascii="Times New Roman" w:eastAsia="標楷體" w:hAnsi="Times New Roman" w:cs="Times New Roman"/>
                <w:sz w:val="24"/>
              </w:rPr>
            </w:pPr>
            <w:r w:rsidRPr="00F617C5">
              <w:rPr>
                <w:rFonts w:ascii="Times New Roman" w:eastAsia="標楷體" w:hAnsi="Times New Roman" w:cs="Arial"/>
                <w:color w:val="000000" w:themeColor="text1"/>
                <w:sz w:val="18"/>
                <w:szCs w:val="16"/>
              </w:rPr>
              <w:t xml:space="preserve">Teaching assistant, counselor, </w:t>
            </w:r>
            <w:r w:rsidR="004C0033" w:rsidRPr="00F617C5">
              <w:rPr>
                <w:rFonts w:ascii="Times New Roman" w:eastAsia="標楷體" w:hAnsi="Times New Roman" w:cs="Arial"/>
                <w:color w:val="000000" w:themeColor="text1"/>
                <w:sz w:val="18"/>
                <w:szCs w:val="16"/>
              </w:rPr>
              <w:t>senior technician</w:t>
            </w:r>
            <w:r w:rsidRPr="00F617C5">
              <w:rPr>
                <w:rFonts w:ascii="Times New Roman" w:eastAsia="標楷體" w:hAnsi="Times New Roman" w:cs="Arial"/>
                <w:color w:val="000000" w:themeColor="text1"/>
                <w:sz w:val="18"/>
                <w:szCs w:val="16"/>
              </w:rPr>
              <w:t xml:space="preserve">, </w:t>
            </w:r>
            <w:r w:rsidR="004C0033" w:rsidRPr="00F617C5">
              <w:rPr>
                <w:rFonts w:ascii="Times New Roman" w:eastAsia="標楷體" w:hAnsi="Times New Roman" w:cs="Arial"/>
                <w:color w:val="000000" w:themeColor="text1"/>
                <w:sz w:val="18"/>
                <w:szCs w:val="16"/>
              </w:rPr>
              <w:t>head</w:t>
            </w:r>
            <w:r w:rsidRPr="00F617C5">
              <w:rPr>
                <w:rFonts w:ascii="Times New Roman" w:eastAsia="標楷體" w:hAnsi="Times New Roman" w:cs="Arial"/>
                <w:color w:val="000000" w:themeColor="text1"/>
                <w:sz w:val="18"/>
                <w:szCs w:val="16"/>
              </w:rPr>
              <w:t xml:space="preserve">, </w:t>
            </w:r>
            <w:r w:rsidR="004C0033" w:rsidRPr="00F617C5">
              <w:rPr>
                <w:rFonts w:ascii="Times New Roman" w:eastAsia="標楷體" w:hAnsi="Times New Roman" w:cs="Arial"/>
                <w:color w:val="000000" w:themeColor="text1"/>
                <w:sz w:val="18"/>
                <w:szCs w:val="16"/>
              </w:rPr>
              <w:t>junior officer</w:t>
            </w:r>
            <w:r w:rsidRPr="00F617C5">
              <w:rPr>
                <w:rFonts w:ascii="Times New Roman" w:eastAsia="標楷體" w:hAnsi="Times New Roman" w:cs="Arial"/>
                <w:color w:val="000000" w:themeColor="text1"/>
                <w:sz w:val="18"/>
                <w:szCs w:val="16"/>
              </w:rPr>
              <w:t>, technician</w:t>
            </w:r>
          </w:p>
        </w:tc>
        <w:tc>
          <w:tcPr>
            <w:tcW w:w="1410" w:type="dxa"/>
            <w:vAlign w:val="center"/>
          </w:tcPr>
          <w:p w14:paraId="54D0FD3A" w14:textId="77777777" w:rsidR="00E26BA5" w:rsidRPr="00BE5153" w:rsidRDefault="00841B9B" w:rsidP="00537CC0">
            <w:pPr>
              <w:pStyle w:val="TableParagraph"/>
              <w:spacing w:before="219"/>
              <w:ind w:left="183" w:right="176"/>
              <w:jc w:val="center"/>
              <w:rPr>
                <w:rFonts w:ascii="Times New Roman" w:eastAsia="標楷體" w:hAnsi="Times New Roman" w:cs="Times New Roman"/>
                <w:sz w:val="24"/>
              </w:rPr>
            </w:pPr>
            <w:r w:rsidRPr="00BE5153">
              <w:rPr>
                <w:rFonts w:ascii="Times New Roman" w:eastAsia="標楷體" w:hAnsi="Times New Roman" w:cs="Times New Roman"/>
                <w:sz w:val="24"/>
              </w:rPr>
              <w:t>400</w:t>
            </w:r>
          </w:p>
        </w:tc>
        <w:tc>
          <w:tcPr>
            <w:tcW w:w="1275" w:type="dxa"/>
            <w:vAlign w:val="center"/>
          </w:tcPr>
          <w:p w14:paraId="708F7B8D" w14:textId="77777777" w:rsidR="00E26BA5" w:rsidRPr="00BE5153" w:rsidRDefault="00841B9B" w:rsidP="00537CC0">
            <w:pPr>
              <w:pStyle w:val="TableParagraph"/>
              <w:spacing w:before="219"/>
              <w:ind w:left="254" w:right="248"/>
              <w:jc w:val="center"/>
              <w:rPr>
                <w:rFonts w:ascii="Times New Roman" w:eastAsia="標楷體" w:hAnsi="Times New Roman" w:cs="Times New Roman"/>
                <w:sz w:val="24"/>
              </w:rPr>
            </w:pPr>
            <w:r w:rsidRPr="00BE5153">
              <w:rPr>
                <w:rFonts w:ascii="Times New Roman" w:eastAsia="標楷體" w:hAnsi="Times New Roman" w:cs="Times New Roman"/>
                <w:sz w:val="24"/>
              </w:rPr>
              <w:t>2,100</w:t>
            </w:r>
          </w:p>
        </w:tc>
        <w:tc>
          <w:tcPr>
            <w:tcW w:w="859" w:type="dxa"/>
            <w:vAlign w:val="center"/>
          </w:tcPr>
          <w:p w14:paraId="4B83B620" w14:textId="77777777" w:rsidR="00E26BA5" w:rsidRPr="00BE5153" w:rsidRDefault="00841B9B" w:rsidP="00537CC0">
            <w:pPr>
              <w:pStyle w:val="TableParagraph"/>
              <w:spacing w:before="219"/>
              <w:ind w:left="-2"/>
              <w:jc w:val="center"/>
              <w:rPr>
                <w:rFonts w:ascii="Times New Roman" w:eastAsia="標楷體" w:hAnsi="Times New Roman" w:cs="Times New Roman"/>
                <w:sz w:val="24"/>
              </w:rPr>
            </w:pPr>
            <w:r w:rsidRPr="00BE5153">
              <w:rPr>
                <w:rFonts w:ascii="Times New Roman" w:eastAsia="標楷體" w:hAnsi="Times New Roman" w:cs="Times New Roman"/>
                <w:sz w:val="24"/>
              </w:rPr>
              <w:t>2,500</w:t>
            </w:r>
          </w:p>
        </w:tc>
        <w:tc>
          <w:tcPr>
            <w:tcW w:w="3227" w:type="dxa"/>
            <w:vMerge/>
            <w:tcBorders>
              <w:top w:val="nil"/>
            </w:tcBorders>
            <w:vAlign w:val="center"/>
          </w:tcPr>
          <w:p w14:paraId="16EEC4AA" w14:textId="77777777" w:rsidR="00E26BA5" w:rsidRPr="00BE5153" w:rsidRDefault="00E26BA5" w:rsidP="00537CC0">
            <w:pPr>
              <w:jc w:val="center"/>
              <w:rPr>
                <w:rFonts w:ascii="Times New Roman" w:eastAsia="標楷體" w:hAnsi="Times New Roman" w:cs="Times New Roman"/>
                <w:sz w:val="2"/>
                <w:szCs w:val="2"/>
              </w:rPr>
            </w:pPr>
          </w:p>
        </w:tc>
      </w:tr>
      <w:tr w:rsidR="00E26BA5" w:rsidRPr="00BE5153" w14:paraId="6552BDEF" w14:textId="77777777" w:rsidTr="00684373">
        <w:trPr>
          <w:trHeight w:val="5153"/>
        </w:trPr>
        <w:tc>
          <w:tcPr>
            <w:tcW w:w="2863" w:type="dxa"/>
            <w:vAlign w:val="center"/>
          </w:tcPr>
          <w:p w14:paraId="2ACA7E8F" w14:textId="5E0521DD" w:rsidR="00E26BA5" w:rsidRPr="00BE5153" w:rsidRDefault="001038DE" w:rsidP="00537CC0">
            <w:pPr>
              <w:pStyle w:val="TableParagraph"/>
              <w:spacing w:line="244" w:lineRule="auto"/>
              <w:ind w:left="28" w:right="14"/>
              <w:jc w:val="center"/>
              <w:rPr>
                <w:rFonts w:ascii="Times New Roman" w:eastAsia="標楷體" w:hAnsi="Times New Roman" w:cs="Times New Roman"/>
                <w:color w:val="FF0000"/>
                <w:sz w:val="24"/>
                <w:u w:val="single"/>
              </w:rPr>
            </w:pPr>
            <w:r w:rsidRPr="000A4546">
              <w:rPr>
                <w:rFonts w:ascii="Times New Roman" w:eastAsia="標楷體" w:hAnsi="Times New Roman" w:cs="Arial"/>
                <w:color w:val="000000" w:themeColor="text1"/>
                <w:sz w:val="18"/>
                <w:szCs w:val="16"/>
              </w:rPr>
              <w:t>Senior clerk</w:t>
            </w:r>
            <w:r w:rsidR="00841B9B" w:rsidRPr="000A4546">
              <w:rPr>
                <w:rFonts w:ascii="Times New Roman" w:eastAsia="標楷體" w:hAnsi="Times New Roman" w:cs="Arial"/>
                <w:color w:val="000000" w:themeColor="text1"/>
                <w:sz w:val="18"/>
                <w:szCs w:val="16"/>
              </w:rPr>
              <w:t xml:space="preserve">, </w:t>
            </w:r>
            <w:r w:rsidRPr="000A4546">
              <w:rPr>
                <w:rFonts w:ascii="Times New Roman" w:eastAsia="標楷體" w:hAnsi="Times New Roman" w:cs="Arial"/>
                <w:color w:val="000000" w:themeColor="text1"/>
                <w:sz w:val="18"/>
                <w:szCs w:val="16"/>
              </w:rPr>
              <w:t>clerk</w:t>
            </w:r>
            <w:r w:rsidR="00841B9B" w:rsidRPr="000A4546">
              <w:rPr>
                <w:rFonts w:ascii="Times New Roman" w:eastAsia="標楷體" w:hAnsi="Times New Roman" w:cs="Arial"/>
                <w:color w:val="000000" w:themeColor="text1"/>
                <w:sz w:val="18"/>
                <w:szCs w:val="16"/>
              </w:rPr>
              <w:t xml:space="preserve">, junior technician, </w:t>
            </w:r>
            <w:r w:rsidR="004C0033" w:rsidRPr="000A4546">
              <w:rPr>
                <w:rFonts w:ascii="Times New Roman" w:eastAsia="標楷體" w:hAnsi="Times New Roman" w:cs="Arial"/>
                <w:color w:val="000000" w:themeColor="text1"/>
                <w:sz w:val="18"/>
                <w:szCs w:val="16"/>
              </w:rPr>
              <w:t xml:space="preserve">contract </w:t>
            </w:r>
            <w:r w:rsidR="00841B9B" w:rsidRPr="000A4546">
              <w:rPr>
                <w:rFonts w:ascii="Times New Roman" w:eastAsia="標楷體" w:hAnsi="Times New Roman" w:cs="Arial"/>
                <w:color w:val="000000" w:themeColor="text1"/>
                <w:sz w:val="18"/>
                <w:szCs w:val="16"/>
              </w:rPr>
              <w:t xml:space="preserve">employee, </w:t>
            </w:r>
            <w:r w:rsidRPr="000A4546">
              <w:rPr>
                <w:rFonts w:ascii="Times New Roman" w:eastAsia="標楷體" w:hAnsi="Times New Roman" w:cs="Arial"/>
                <w:color w:val="000000" w:themeColor="text1"/>
                <w:sz w:val="18"/>
                <w:szCs w:val="16"/>
              </w:rPr>
              <w:t xml:space="preserve">security </w:t>
            </w:r>
            <w:r w:rsidR="00841B9B" w:rsidRPr="000A4546">
              <w:rPr>
                <w:rFonts w:ascii="Times New Roman" w:eastAsia="標楷體" w:hAnsi="Times New Roman" w:cs="Arial"/>
                <w:color w:val="000000" w:themeColor="text1"/>
                <w:sz w:val="18"/>
                <w:szCs w:val="16"/>
              </w:rPr>
              <w:t xml:space="preserve">guard, driver, </w:t>
            </w:r>
            <w:r w:rsidRPr="000A4546">
              <w:rPr>
                <w:rFonts w:ascii="Times New Roman" w:eastAsia="標楷體" w:hAnsi="Times New Roman" w:cs="Arial"/>
                <w:color w:val="000000" w:themeColor="text1"/>
                <w:sz w:val="18"/>
                <w:szCs w:val="16"/>
              </w:rPr>
              <w:t>technical worker</w:t>
            </w:r>
            <w:r w:rsidR="00841B9B" w:rsidRPr="000A4546">
              <w:rPr>
                <w:rFonts w:ascii="Times New Roman" w:eastAsia="標楷體" w:hAnsi="Times New Roman" w:cs="Arial"/>
                <w:color w:val="000000" w:themeColor="text1"/>
                <w:sz w:val="18"/>
                <w:szCs w:val="16"/>
              </w:rPr>
              <w:t xml:space="preserve">, and </w:t>
            </w:r>
            <w:r w:rsidRPr="000A4546">
              <w:rPr>
                <w:rFonts w:ascii="Times New Roman" w:eastAsia="標楷體" w:hAnsi="Times New Roman" w:cs="Arial"/>
                <w:color w:val="000000" w:themeColor="text1"/>
                <w:sz w:val="18"/>
                <w:szCs w:val="16"/>
              </w:rPr>
              <w:t>janitor</w:t>
            </w:r>
          </w:p>
        </w:tc>
        <w:tc>
          <w:tcPr>
            <w:tcW w:w="1410" w:type="dxa"/>
            <w:vAlign w:val="center"/>
          </w:tcPr>
          <w:p w14:paraId="3566082B" w14:textId="77777777" w:rsidR="00E26BA5" w:rsidRPr="00BE5153" w:rsidRDefault="00841B9B" w:rsidP="00537CC0">
            <w:pPr>
              <w:pStyle w:val="TableParagraph"/>
              <w:spacing w:before="39"/>
              <w:ind w:left="183" w:right="176"/>
              <w:jc w:val="center"/>
              <w:rPr>
                <w:rFonts w:ascii="Times New Roman" w:eastAsia="標楷體" w:hAnsi="Times New Roman" w:cs="Times New Roman"/>
                <w:sz w:val="24"/>
              </w:rPr>
            </w:pPr>
            <w:r w:rsidRPr="00BE5153">
              <w:rPr>
                <w:rFonts w:ascii="Times New Roman" w:eastAsia="標楷體" w:hAnsi="Times New Roman" w:cs="Times New Roman"/>
                <w:sz w:val="24"/>
              </w:rPr>
              <w:t>400</w:t>
            </w:r>
          </w:p>
        </w:tc>
        <w:tc>
          <w:tcPr>
            <w:tcW w:w="1275" w:type="dxa"/>
            <w:vAlign w:val="center"/>
          </w:tcPr>
          <w:p w14:paraId="265439C2" w14:textId="77777777" w:rsidR="00E26BA5" w:rsidRPr="00BE5153" w:rsidRDefault="00841B9B" w:rsidP="00537CC0">
            <w:pPr>
              <w:pStyle w:val="TableParagraph"/>
              <w:spacing w:before="39"/>
              <w:ind w:left="254" w:right="248"/>
              <w:jc w:val="center"/>
              <w:rPr>
                <w:rFonts w:ascii="Times New Roman" w:eastAsia="標楷體" w:hAnsi="Times New Roman" w:cs="Times New Roman"/>
                <w:sz w:val="24"/>
              </w:rPr>
            </w:pPr>
            <w:r w:rsidRPr="00BE5153">
              <w:rPr>
                <w:rFonts w:ascii="Times New Roman" w:eastAsia="標楷體" w:hAnsi="Times New Roman" w:cs="Times New Roman"/>
                <w:sz w:val="24"/>
              </w:rPr>
              <w:t>2,000</w:t>
            </w:r>
          </w:p>
        </w:tc>
        <w:tc>
          <w:tcPr>
            <w:tcW w:w="859" w:type="dxa"/>
            <w:vAlign w:val="center"/>
          </w:tcPr>
          <w:p w14:paraId="08387CAE" w14:textId="77777777" w:rsidR="00E26BA5" w:rsidRPr="00BE5153" w:rsidRDefault="00841B9B" w:rsidP="00537CC0">
            <w:pPr>
              <w:pStyle w:val="TableParagraph"/>
              <w:spacing w:before="39"/>
              <w:ind w:left="-2"/>
              <w:jc w:val="center"/>
              <w:rPr>
                <w:rFonts w:ascii="Times New Roman" w:eastAsia="標楷體" w:hAnsi="Times New Roman" w:cs="Times New Roman"/>
                <w:sz w:val="24"/>
              </w:rPr>
            </w:pPr>
            <w:r w:rsidRPr="00BE5153">
              <w:rPr>
                <w:rFonts w:ascii="Times New Roman" w:eastAsia="標楷體" w:hAnsi="Times New Roman" w:cs="Times New Roman"/>
                <w:sz w:val="24"/>
              </w:rPr>
              <w:t>2,400</w:t>
            </w:r>
          </w:p>
        </w:tc>
        <w:tc>
          <w:tcPr>
            <w:tcW w:w="3227" w:type="dxa"/>
            <w:vMerge/>
            <w:tcBorders>
              <w:top w:val="nil"/>
            </w:tcBorders>
            <w:vAlign w:val="center"/>
          </w:tcPr>
          <w:p w14:paraId="7A13D156" w14:textId="77777777" w:rsidR="00E26BA5" w:rsidRPr="00BE5153" w:rsidRDefault="00E26BA5" w:rsidP="00537CC0">
            <w:pPr>
              <w:jc w:val="center"/>
              <w:rPr>
                <w:rFonts w:ascii="Times New Roman" w:eastAsia="標楷體" w:hAnsi="Times New Roman" w:cs="Times New Roman"/>
                <w:sz w:val="2"/>
                <w:szCs w:val="2"/>
              </w:rPr>
            </w:pPr>
          </w:p>
        </w:tc>
      </w:tr>
    </w:tbl>
    <w:p w14:paraId="324D7708" w14:textId="77777777" w:rsidR="00E26BA5" w:rsidRPr="00BE5153" w:rsidRDefault="00E26BA5">
      <w:pPr>
        <w:rPr>
          <w:rFonts w:ascii="Times New Roman" w:eastAsia="標楷體" w:hAnsi="Times New Roman" w:cs="Times New Roman"/>
        </w:rPr>
      </w:pPr>
    </w:p>
    <w:sectPr w:rsidR="00E26BA5" w:rsidRPr="00BE5153" w:rsidSect="00E65D21">
      <w:pgSz w:w="11910" w:h="16840"/>
      <w:pgMar w:top="980" w:right="1134" w:bottom="98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952EF" w14:textId="77777777" w:rsidR="00053E4C" w:rsidRDefault="00053E4C" w:rsidP="00B70A2C">
      <w:r>
        <w:separator/>
      </w:r>
    </w:p>
  </w:endnote>
  <w:endnote w:type="continuationSeparator" w:id="0">
    <w:p w14:paraId="7EBBDB54" w14:textId="77777777" w:rsidR="00053E4C" w:rsidRDefault="00053E4C" w:rsidP="00B7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C7DBE" w14:textId="77777777" w:rsidR="00053E4C" w:rsidRDefault="00053E4C" w:rsidP="00B70A2C">
      <w:r>
        <w:separator/>
      </w:r>
    </w:p>
  </w:footnote>
  <w:footnote w:type="continuationSeparator" w:id="0">
    <w:p w14:paraId="444730CE" w14:textId="77777777" w:rsidR="00053E4C" w:rsidRDefault="00053E4C" w:rsidP="00B7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2841"/>
    <w:multiLevelType w:val="hybridMultilevel"/>
    <w:tmpl w:val="361421D6"/>
    <w:lvl w:ilvl="0" w:tplc="7DEC690A">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 w15:restartNumberingAfterBreak="0">
    <w:nsid w:val="59CA763E"/>
    <w:multiLevelType w:val="multilevel"/>
    <w:tmpl w:val="59CA763E"/>
    <w:lvl w:ilvl="0">
      <w:start w:val="1"/>
      <w:numFmt w:val="decimal"/>
      <w:lvlText w:val="%1."/>
      <w:lvlJc w:val="left"/>
      <w:pPr>
        <w:ind w:left="210" w:hanging="181"/>
      </w:pPr>
      <w:rPr>
        <w:rFonts w:ascii="Times New Roman" w:eastAsia="Times New Roman" w:hAnsi="Times New Roman" w:cs="Times New Roman" w:hint="default"/>
        <w:w w:val="100"/>
        <w:sz w:val="22"/>
        <w:szCs w:val="22"/>
        <w:lang w:val="en-US" w:eastAsia="zh-TW" w:bidi="ar-SA"/>
      </w:rPr>
    </w:lvl>
    <w:lvl w:ilvl="1">
      <w:numFmt w:val="bullet"/>
      <w:lvlText w:val="•"/>
      <w:lvlJc w:val="left"/>
      <w:pPr>
        <w:ind w:left="452" w:hanging="181"/>
      </w:pPr>
      <w:rPr>
        <w:rFonts w:hint="default"/>
        <w:lang w:val="en-US" w:eastAsia="zh-TW" w:bidi="ar-SA"/>
      </w:rPr>
    </w:lvl>
    <w:lvl w:ilvl="2">
      <w:numFmt w:val="bullet"/>
      <w:lvlText w:val="•"/>
      <w:lvlJc w:val="left"/>
      <w:pPr>
        <w:ind w:left="684" w:hanging="181"/>
      </w:pPr>
      <w:rPr>
        <w:rFonts w:hint="default"/>
        <w:lang w:val="en-US" w:eastAsia="zh-TW" w:bidi="ar-SA"/>
      </w:rPr>
    </w:lvl>
    <w:lvl w:ilvl="3">
      <w:numFmt w:val="bullet"/>
      <w:lvlText w:val="•"/>
      <w:lvlJc w:val="left"/>
      <w:pPr>
        <w:ind w:left="916" w:hanging="181"/>
      </w:pPr>
      <w:rPr>
        <w:rFonts w:hint="default"/>
        <w:lang w:val="en-US" w:eastAsia="zh-TW" w:bidi="ar-SA"/>
      </w:rPr>
    </w:lvl>
    <w:lvl w:ilvl="4">
      <w:numFmt w:val="bullet"/>
      <w:lvlText w:val="•"/>
      <w:lvlJc w:val="left"/>
      <w:pPr>
        <w:ind w:left="1148" w:hanging="181"/>
      </w:pPr>
      <w:rPr>
        <w:rFonts w:hint="default"/>
        <w:lang w:val="en-US" w:eastAsia="zh-TW" w:bidi="ar-SA"/>
      </w:rPr>
    </w:lvl>
    <w:lvl w:ilvl="5">
      <w:numFmt w:val="bullet"/>
      <w:lvlText w:val="•"/>
      <w:lvlJc w:val="left"/>
      <w:pPr>
        <w:ind w:left="1380" w:hanging="181"/>
      </w:pPr>
      <w:rPr>
        <w:rFonts w:hint="default"/>
        <w:lang w:val="en-US" w:eastAsia="zh-TW" w:bidi="ar-SA"/>
      </w:rPr>
    </w:lvl>
    <w:lvl w:ilvl="6">
      <w:numFmt w:val="bullet"/>
      <w:lvlText w:val="•"/>
      <w:lvlJc w:val="left"/>
      <w:pPr>
        <w:ind w:left="1612" w:hanging="181"/>
      </w:pPr>
      <w:rPr>
        <w:rFonts w:hint="default"/>
        <w:lang w:val="en-US" w:eastAsia="zh-TW" w:bidi="ar-SA"/>
      </w:rPr>
    </w:lvl>
    <w:lvl w:ilvl="7">
      <w:numFmt w:val="bullet"/>
      <w:lvlText w:val="•"/>
      <w:lvlJc w:val="left"/>
      <w:pPr>
        <w:ind w:left="1844" w:hanging="181"/>
      </w:pPr>
      <w:rPr>
        <w:rFonts w:hint="default"/>
        <w:lang w:val="en-US" w:eastAsia="zh-TW" w:bidi="ar-SA"/>
      </w:rPr>
    </w:lvl>
    <w:lvl w:ilvl="8">
      <w:numFmt w:val="bullet"/>
      <w:lvlText w:val="•"/>
      <w:lvlJc w:val="left"/>
      <w:pPr>
        <w:ind w:left="2076" w:hanging="181"/>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zI3MDYzMbIAMpV0lIJTi4sz8/NACoxqAU4Y5dEsAAAA"/>
    <w:docVar w:name="commondata" w:val="eyJoZGlkIjoiMGU5OGFlYjYzMTgwYzVkMTRhZDc5ZjgwOGIyOGZmODYifQ=="/>
  </w:docVars>
  <w:rsids>
    <w:rsidRoot w:val="00476CBB"/>
    <w:rsid w:val="00006668"/>
    <w:rsid w:val="00053E4C"/>
    <w:rsid w:val="000A4546"/>
    <w:rsid w:val="000E04B5"/>
    <w:rsid w:val="001038DE"/>
    <w:rsid w:val="00115117"/>
    <w:rsid w:val="0012613A"/>
    <w:rsid w:val="00137EB9"/>
    <w:rsid w:val="00177168"/>
    <w:rsid w:val="001872A3"/>
    <w:rsid w:val="001B35BB"/>
    <w:rsid w:val="002363B9"/>
    <w:rsid w:val="00244E3B"/>
    <w:rsid w:val="00253EA6"/>
    <w:rsid w:val="00264317"/>
    <w:rsid w:val="002A205B"/>
    <w:rsid w:val="002F1641"/>
    <w:rsid w:val="00361FAD"/>
    <w:rsid w:val="003B0F50"/>
    <w:rsid w:val="003B7300"/>
    <w:rsid w:val="00460137"/>
    <w:rsid w:val="00476CBB"/>
    <w:rsid w:val="004B0963"/>
    <w:rsid w:val="004C0033"/>
    <w:rsid w:val="00537CC0"/>
    <w:rsid w:val="0054644F"/>
    <w:rsid w:val="005B034F"/>
    <w:rsid w:val="005B307B"/>
    <w:rsid w:val="005D09DD"/>
    <w:rsid w:val="005D13FB"/>
    <w:rsid w:val="005D7D62"/>
    <w:rsid w:val="00621B39"/>
    <w:rsid w:val="00684373"/>
    <w:rsid w:val="00695AAC"/>
    <w:rsid w:val="006B1B3A"/>
    <w:rsid w:val="006D5EA1"/>
    <w:rsid w:val="00705C71"/>
    <w:rsid w:val="00711E8F"/>
    <w:rsid w:val="0073167F"/>
    <w:rsid w:val="0074153A"/>
    <w:rsid w:val="007B7C1C"/>
    <w:rsid w:val="0083136A"/>
    <w:rsid w:val="00833A77"/>
    <w:rsid w:val="00841B9B"/>
    <w:rsid w:val="00896EEA"/>
    <w:rsid w:val="008A0321"/>
    <w:rsid w:val="00921A0E"/>
    <w:rsid w:val="00955B69"/>
    <w:rsid w:val="009C2D6F"/>
    <w:rsid w:val="009D5685"/>
    <w:rsid w:val="00A90E72"/>
    <w:rsid w:val="00AB144A"/>
    <w:rsid w:val="00AC2747"/>
    <w:rsid w:val="00B27832"/>
    <w:rsid w:val="00B61068"/>
    <w:rsid w:val="00B67983"/>
    <w:rsid w:val="00B70A2C"/>
    <w:rsid w:val="00BE5153"/>
    <w:rsid w:val="00C11D30"/>
    <w:rsid w:val="00C725B1"/>
    <w:rsid w:val="00CA6724"/>
    <w:rsid w:val="00D023D8"/>
    <w:rsid w:val="00D074AA"/>
    <w:rsid w:val="00D92103"/>
    <w:rsid w:val="00DA20B9"/>
    <w:rsid w:val="00E26BA5"/>
    <w:rsid w:val="00E56C13"/>
    <w:rsid w:val="00E65D21"/>
    <w:rsid w:val="00E731D9"/>
    <w:rsid w:val="00E92D58"/>
    <w:rsid w:val="00F11688"/>
    <w:rsid w:val="00F234CB"/>
    <w:rsid w:val="00F26D94"/>
    <w:rsid w:val="00F43924"/>
    <w:rsid w:val="00F617C5"/>
    <w:rsid w:val="00F65A62"/>
    <w:rsid w:val="00FC5738"/>
    <w:rsid w:val="2E4C23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D3C19"/>
  <w15:docId w15:val="{72D16FD8-6B3A-442B-BD4B-B28CF586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SimSun" w:eastAsia="SimSun" w:hAnsi="SimSun" w:cs="SimSun"/>
      <w:sz w:val="22"/>
      <w:szCs w:val="22"/>
      <w:lang w:eastAsia="zh-TW"/>
    </w:rPr>
  </w:style>
  <w:style w:type="paragraph" w:styleId="1">
    <w:name w:val="heading 1"/>
    <w:basedOn w:val="a"/>
    <w:uiPriority w:val="9"/>
    <w:qFormat/>
    <w:pPr>
      <w:spacing w:line="490" w:lineRule="exact"/>
      <w:ind w:left="140"/>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
      <w:ind w:left="2833"/>
    </w:pPr>
    <w:rPr>
      <w:rFonts w:ascii="Times New Roman" w:eastAsia="Times New Roman" w:hAnsi="Times New Roman" w:cs="Times New Roman"/>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70A2C"/>
    <w:pPr>
      <w:tabs>
        <w:tab w:val="center" w:pos="4153"/>
        <w:tab w:val="right" w:pos="8306"/>
      </w:tabs>
      <w:snapToGrid w:val="0"/>
      <w:jc w:val="center"/>
    </w:pPr>
    <w:rPr>
      <w:sz w:val="18"/>
      <w:szCs w:val="18"/>
    </w:rPr>
  </w:style>
  <w:style w:type="character" w:customStyle="1" w:styleId="a6">
    <w:name w:val="頁首 字元"/>
    <w:basedOn w:val="a0"/>
    <w:link w:val="a5"/>
    <w:uiPriority w:val="99"/>
    <w:rsid w:val="00B70A2C"/>
    <w:rPr>
      <w:rFonts w:ascii="SimSun" w:eastAsia="SimSun" w:hAnsi="SimSun" w:cs="SimSun"/>
      <w:sz w:val="18"/>
      <w:szCs w:val="18"/>
      <w:lang w:eastAsia="zh-TW"/>
    </w:rPr>
  </w:style>
  <w:style w:type="paragraph" w:styleId="a7">
    <w:name w:val="footer"/>
    <w:basedOn w:val="a"/>
    <w:link w:val="a8"/>
    <w:uiPriority w:val="99"/>
    <w:unhideWhenUsed/>
    <w:rsid w:val="00B70A2C"/>
    <w:pPr>
      <w:tabs>
        <w:tab w:val="center" w:pos="4153"/>
        <w:tab w:val="right" w:pos="8306"/>
      </w:tabs>
      <w:snapToGrid w:val="0"/>
    </w:pPr>
    <w:rPr>
      <w:sz w:val="18"/>
      <w:szCs w:val="18"/>
    </w:rPr>
  </w:style>
  <w:style w:type="character" w:customStyle="1" w:styleId="a8">
    <w:name w:val="頁尾 字元"/>
    <w:basedOn w:val="a0"/>
    <w:link w:val="a7"/>
    <w:uiPriority w:val="99"/>
    <w:rsid w:val="00B70A2C"/>
    <w:rPr>
      <w:rFonts w:ascii="SimSun" w:eastAsia="SimSun" w:hAnsi="SimSun" w:cs="SimSun"/>
      <w:sz w:val="18"/>
      <w:szCs w:val="18"/>
      <w:lang w:eastAsia="zh-TW"/>
    </w:rPr>
  </w:style>
  <w:style w:type="paragraph" w:styleId="a9">
    <w:name w:val="Note Heading"/>
    <w:basedOn w:val="a"/>
    <w:next w:val="a"/>
    <w:link w:val="aa"/>
    <w:uiPriority w:val="99"/>
    <w:unhideWhenUsed/>
    <w:rsid w:val="00006668"/>
    <w:pPr>
      <w:jc w:val="center"/>
    </w:pPr>
    <w:rPr>
      <w:rFonts w:ascii="Times New Roman" w:eastAsia="標楷體" w:hAnsi="Times New Roman" w:cs="Times New Roman"/>
      <w:sz w:val="24"/>
    </w:rPr>
  </w:style>
  <w:style w:type="character" w:customStyle="1" w:styleId="aa">
    <w:name w:val="註釋標題 字元"/>
    <w:basedOn w:val="a0"/>
    <w:link w:val="a9"/>
    <w:uiPriority w:val="99"/>
    <w:rsid w:val="00006668"/>
    <w:rPr>
      <w:rFonts w:ascii="Times New Roman" w:eastAsia="標楷體" w:hAnsi="Times New Roman" w:cs="Times New Roman"/>
      <w:sz w:val="24"/>
      <w:szCs w:val="22"/>
      <w:lang w:eastAsia="zh-TW"/>
    </w:rPr>
  </w:style>
  <w:style w:type="paragraph" w:styleId="ab">
    <w:name w:val="Closing"/>
    <w:basedOn w:val="a"/>
    <w:link w:val="ac"/>
    <w:uiPriority w:val="99"/>
    <w:unhideWhenUsed/>
    <w:rsid w:val="00006668"/>
    <w:pPr>
      <w:ind w:leftChars="1800" w:left="100"/>
    </w:pPr>
    <w:rPr>
      <w:rFonts w:ascii="Times New Roman" w:eastAsia="標楷體" w:hAnsi="Times New Roman" w:cs="Times New Roman"/>
      <w:sz w:val="24"/>
    </w:rPr>
  </w:style>
  <w:style w:type="character" w:customStyle="1" w:styleId="ac">
    <w:name w:val="結語 字元"/>
    <w:basedOn w:val="a0"/>
    <w:link w:val="ab"/>
    <w:uiPriority w:val="99"/>
    <w:rsid w:val="00006668"/>
    <w:rPr>
      <w:rFonts w:ascii="Times New Roman" w:eastAsia="標楷體" w:hAnsi="Times New Roman" w:cs="Times New Roman"/>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1066</Words>
  <Characters>5823</Characters>
  <Application>Microsoft Office Word</Application>
  <DocSecurity>0</DocSecurity>
  <Lines>200</Lines>
  <Paragraphs>93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dcterms:created xsi:type="dcterms:W3CDTF">2024-02-07T06:48:00Z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Acrobat PDFMaker 10.1 Word 版</vt:lpwstr>
  </property>
  <property fmtid="{D5CDD505-2E9C-101B-9397-08002B2CF9AE}" pid="4" name="LastSaved">
    <vt:filetime>2023-10-24T00:00:00Z</vt:filetime>
  </property>
  <property fmtid="{D5CDD505-2E9C-101B-9397-08002B2CF9AE}" pid="5" name="GrammarlyDocumentId">
    <vt:lpwstr>125aaabb0deaed2bca9d64555febac33c42a56ab18285de7bd9b96521a47b556</vt:lpwstr>
  </property>
  <property fmtid="{D5CDD505-2E9C-101B-9397-08002B2CF9AE}" pid="6" name="KSOProductBuildVer">
    <vt:lpwstr>2052-12.1.0.15990</vt:lpwstr>
  </property>
  <property fmtid="{D5CDD505-2E9C-101B-9397-08002B2CF9AE}" pid="7" name="ICV">
    <vt:lpwstr>4CF4C4E5C91443518E6EF8CC2167DF61_12</vt:lpwstr>
  </property>
</Properties>
</file>