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FF" w:rsidRPr="000C0AC0" w:rsidRDefault="00565836" w:rsidP="002F4B70">
      <w:pPr>
        <w:spacing w:line="440" w:lineRule="exact"/>
        <w:rPr>
          <w:rFonts w:ascii="標楷體" w:eastAsia="標楷體"/>
          <w:b/>
          <w:bCs/>
          <w:sz w:val="32"/>
        </w:rPr>
      </w:pPr>
      <w:bookmarkStart w:id="0" w:name="_GoBack"/>
      <w:r w:rsidRPr="000C0AC0">
        <w:rPr>
          <w:rFonts w:ascii="標楷體" w:eastAsia="標楷體" w:hint="eastAsia"/>
          <w:b/>
          <w:bCs/>
          <w:sz w:val="32"/>
        </w:rPr>
        <w:t>高雄醫學</w:t>
      </w:r>
      <w:r w:rsidR="00CD0426" w:rsidRPr="000C0AC0">
        <w:rPr>
          <w:rFonts w:ascii="標楷體" w:eastAsia="標楷體" w:hint="eastAsia"/>
          <w:b/>
          <w:bCs/>
          <w:sz w:val="32"/>
        </w:rPr>
        <w:t>大</w:t>
      </w:r>
      <w:r w:rsidR="00A10FFF" w:rsidRPr="000C0AC0">
        <w:rPr>
          <w:rFonts w:ascii="標楷體" w:eastAsia="標楷體" w:hint="eastAsia"/>
          <w:b/>
          <w:bCs/>
          <w:sz w:val="32"/>
        </w:rPr>
        <w:t>學</w:t>
      </w:r>
      <w:r w:rsidRPr="000C0AC0">
        <w:rPr>
          <w:rFonts w:ascii="標楷體" w:eastAsia="標楷體" w:hint="eastAsia"/>
          <w:b/>
          <w:bCs/>
          <w:sz w:val="32"/>
        </w:rPr>
        <w:t>資本支出</w:t>
      </w:r>
      <w:r w:rsidR="00A10FFF" w:rsidRPr="000C0AC0">
        <w:rPr>
          <w:rFonts w:ascii="標楷體" w:eastAsia="標楷體" w:hint="eastAsia"/>
          <w:b/>
          <w:bCs/>
          <w:sz w:val="32"/>
        </w:rPr>
        <w:t>預算保留</w:t>
      </w:r>
      <w:r w:rsidR="00B62BF7" w:rsidRPr="000C0AC0">
        <w:rPr>
          <w:rFonts w:ascii="標楷體" w:eastAsia="標楷體" w:hint="eastAsia"/>
          <w:b/>
          <w:bCs/>
          <w:sz w:val="32"/>
        </w:rPr>
        <w:t>及使用</w:t>
      </w:r>
      <w:r w:rsidR="002125E5" w:rsidRPr="000C0AC0">
        <w:rPr>
          <w:rFonts w:ascii="標楷體" w:eastAsia="標楷體" w:hint="eastAsia"/>
          <w:b/>
          <w:bCs/>
          <w:sz w:val="32"/>
        </w:rPr>
        <w:t>辦法</w:t>
      </w:r>
    </w:p>
    <w:p w:rsidR="002F4B70" w:rsidRPr="000C0AC0" w:rsidRDefault="002F4B70" w:rsidP="002F4B70">
      <w:pPr>
        <w:tabs>
          <w:tab w:val="left" w:pos="6600"/>
        </w:tabs>
        <w:spacing w:line="240" w:lineRule="exact"/>
        <w:ind w:rightChars="-378" w:right="-907" w:firstLineChars="2835" w:firstLine="5670"/>
        <w:rPr>
          <w:rFonts w:eastAsia="標楷體"/>
          <w:kern w:val="0"/>
          <w:sz w:val="20"/>
        </w:rPr>
      </w:pPr>
    </w:p>
    <w:p w:rsidR="00F00854" w:rsidRPr="000C0AC0" w:rsidRDefault="002F4B70" w:rsidP="002F4B70">
      <w:pPr>
        <w:tabs>
          <w:tab w:val="left" w:pos="6600"/>
        </w:tabs>
        <w:spacing w:line="240" w:lineRule="exact"/>
        <w:ind w:rightChars="-378" w:right="-907" w:firstLineChars="2835" w:firstLine="5670"/>
        <w:rPr>
          <w:rFonts w:eastAsia="標楷體"/>
          <w:kern w:val="0"/>
          <w:sz w:val="20"/>
        </w:rPr>
      </w:pPr>
      <w:r w:rsidRPr="000C0AC0">
        <w:rPr>
          <w:rFonts w:eastAsia="標楷體"/>
          <w:kern w:val="0"/>
          <w:sz w:val="20"/>
        </w:rPr>
        <w:t>107.08.16</w:t>
      </w:r>
      <w:r w:rsidRPr="000C0AC0">
        <w:rPr>
          <w:rFonts w:eastAsia="標楷體"/>
          <w:kern w:val="0"/>
          <w:sz w:val="20"/>
        </w:rPr>
        <w:tab/>
        <w:t>107</w:t>
      </w:r>
      <w:r w:rsidRPr="000C0AC0">
        <w:rPr>
          <w:rFonts w:eastAsia="標楷體"/>
          <w:kern w:val="0"/>
          <w:sz w:val="20"/>
        </w:rPr>
        <w:t>學年度第</w:t>
      </w:r>
      <w:r w:rsidRPr="000C0AC0">
        <w:rPr>
          <w:rFonts w:eastAsia="標楷體"/>
          <w:kern w:val="0"/>
          <w:sz w:val="20"/>
        </w:rPr>
        <w:t>1</w:t>
      </w:r>
      <w:r w:rsidRPr="000C0AC0">
        <w:rPr>
          <w:rFonts w:eastAsia="標楷體"/>
          <w:kern w:val="0"/>
          <w:sz w:val="20"/>
        </w:rPr>
        <w:t>次行政會議通過</w:t>
      </w:r>
    </w:p>
    <w:p w:rsidR="000C0AC0" w:rsidRPr="000C0AC0" w:rsidRDefault="000C0AC0" w:rsidP="002F4B70">
      <w:pPr>
        <w:tabs>
          <w:tab w:val="left" w:pos="6600"/>
        </w:tabs>
        <w:spacing w:line="240" w:lineRule="exact"/>
        <w:ind w:rightChars="-378" w:right="-907" w:firstLineChars="2835" w:firstLine="5670"/>
        <w:rPr>
          <w:rFonts w:eastAsia="標楷體" w:hint="eastAsia"/>
          <w:kern w:val="0"/>
          <w:sz w:val="20"/>
        </w:rPr>
      </w:pPr>
      <w:r w:rsidRPr="000C0AC0">
        <w:rPr>
          <w:rFonts w:eastAsia="標楷體" w:hint="eastAsia"/>
          <w:kern w:val="0"/>
          <w:sz w:val="20"/>
        </w:rPr>
        <w:t>107.10.25</w:t>
      </w:r>
      <w:r w:rsidRPr="000C0AC0">
        <w:rPr>
          <w:rFonts w:eastAsia="標楷體"/>
          <w:kern w:val="0"/>
          <w:sz w:val="20"/>
        </w:rPr>
        <w:tab/>
      </w:r>
      <w:r w:rsidRPr="000C0AC0">
        <w:rPr>
          <w:rFonts w:eastAsia="標楷體" w:hint="eastAsia"/>
          <w:kern w:val="0"/>
          <w:sz w:val="20"/>
        </w:rPr>
        <w:t>第</w:t>
      </w:r>
      <w:r w:rsidRPr="000C0AC0">
        <w:rPr>
          <w:rFonts w:eastAsia="標楷體" w:hint="eastAsia"/>
          <w:kern w:val="0"/>
          <w:sz w:val="20"/>
        </w:rPr>
        <w:t>18</w:t>
      </w:r>
      <w:r w:rsidRPr="000C0AC0">
        <w:rPr>
          <w:rFonts w:eastAsia="標楷體" w:hint="eastAsia"/>
          <w:kern w:val="0"/>
          <w:sz w:val="20"/>
        </w:rPr>
        <w:t>屆第</w:t>
      </w:r>
      <w:r w:rsidRPr="000C0AC0">
        <w:rPr>
          <w:rFonts w:eastAsia="標楷體" w:hint="eastAsia"/>
          <w:kern w:val="0"/>
          <w:sz w:val="20"/>
        </w:rPr>
        <w:t>32</w:t>
      </w:r>
      <w:r w:rsidRPr="000C0AC0">
        <w:rPr>
          <w:rFonts w:eastAsia="標楷體" w:hint="eastAsia"/>
          <w:kern w:val="0"/>
          <w:sz w:val="20"/>
        </w:rPr>
        <w:t>次董事會議審議通過</w:t>
      </w:r>
    </w:p>
    <w:p w:rsidR="002F4B70" w:rsidRPr="000C0AC0" w:rsidRDefault="002F4B70" w:rsidP="002F4B70">
      <w:pPr>
        <w:tabs>
          <w:tab w:val="left" w:pos="6600"/>
        </w:tabs>
        <w:spacing w:line="240" w:lineRule="exact"/>
        <w:ind w:rightChars="-378" w:right="-907" w:firstLineChars="2835" w:firstLine="5670"/>
        <w:rPr>
          <w:rFonts w:eastAsia="標楷體"/>
          <w:kern w:val="0"/>
          <w:sz w:val="20"/>
        </w:rPr>
      </w:pPr>
    </w:p>
    <w:tbl>
      <w:tblPr>
        <w:tblStyle w:val="a6"/>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8817"/>
      </w:tblGrid>
      <w:tr w:rsidR="000C0AC0" w:rsidRPr="000C0AC0" w:rsidTr="002F4B70">
        <w:trPr>
          <w:jc w:val="center"/>
        </w:trPr>
        <w:tc>
          <w:tcPr>
            <w:tcW w:w="964" w:type="dxa"/>
          </w:tcPr>
          <w:p w:rsidR="002F4B70" w:rsidRPr="000C0AC0" w:rsidRDefault="002F4B70" w:rsidP="002F4B70">
            <w:pPr>
              <w:rPr>
                <w:rFonts w:eastAsia="標楷體"/>
                <w:bCs/>
              </w:rPr>
            </w:pPr>
            <w:r w:rsidRPr="000C0AC0">
              <w:rPr>
                <w:rFonts w:eastAsia="標楷體"/>
                <w:bCs/>
              </w:rPr>
              <w:t>第</w:t>
            </w:r>
            <w:r w:rsidRPr="000C0AC0">
              <w:rPr>
                <w:rFonts w:eastAsia="標楷體"/>
                <w:bCs/>
              </w:rPr>
              <w:t>1</w:t>
            </w:r>
            <w:r w:rsidRPr="000C0AC0">
              <w:rPr>
                <w:rFonts w:eastAsia="標楷體"/>
                <w:bCs/>
              </w:rPr>
              <w:t>條</w:t>
            </w:r>
          </w:p>
        </w:tc>
        <w:tc>
          <w:tcPr>
            <w:tcW w:w="8817" w:type="dxa"/>
          </w:tcPr>
          <w:p w:rsidR="002F4B70" w:rsidRPr="000C0AC0" w:rsidRDefault="002F4B70" w:rsidP="002F4B70">
            <w:pPr>
              <w:rPr>
                <w:rFonts w:eastAsia="標楷體"/>
                <w:bCs/>
              </w:rPr>
            </w:pPr>
            <w:r w:rsidRPr="000C0AC0">
              <w:rPr>
                <w:rFonts w:eastAsia="標楷體"/>
                <w:bCs/>
              </w:rPr>
              <w:t>本校資本支出計畫若未能於該預算年度內執行完成時，為使資本支出計畫得以繼續推動並使用原編列之預算，特訂定本辦法。</w:t>
            </w:r>
          </w:p>
        </w:tc>
      </w:tr>
      <w:tr w:rsidR="000C0AC0" w:rsidRPr="000C0AC0" w:rsidTr="002F4B70">
        <w:trPr>
          <w:jc w:val="center"/>
        </w:trPr>
        <w:tc>
          <w:tcPr>
            <w:tcW w:w="964" w:type="dxa"/>
          </w:tcPr>
          <w:p w:rsidR="002F4B70" w:rsidRPr="000C0AC0" w:rsidRDefault="002F4B70" w:rsidP="002F4B70">
            <w:pPr>
              <w:rPr>
                <w:rFonts w:eastAsia="標楷體"/>
                <w:bCs/>
              </w:rPr>
            </w:pPr>
            <w:r w:rsidRPr="000C0AC0">
              <w:rPr>
                <w:rFonts w:eastAsia="標楷體"/>
                <w:bCs/>
              </w:rPr>
              <w:t>第</w:t>
            </w:r>
            <w:r w:rsidRPr="000C0AC0">
              <w:rPr>
                <w:rFonts w:eastAsia="標楷體"/>
                <w:bCs/>
              </w:rPr>
              <w:t>2</w:t>
            </w:r>
            <w:r w:rsidRPr="000C0AC0">
              <w:rPr>
                <w:rFonts w:eastAsia="標楷體"/>
                <w:bCs/>
              </w:rPr>
              <w:t>條</w:t>
            </w:r>
          </w:p>
        </w:tc>
        <w:tc>
          <w:tcPr>
            <w:tcW w:w="8817" w:type="dxa"/>
          </w:tcPr>
          <w:p w:rsidR="002F4B70" w:rsidRPr="000C0AC0" w:rsidRDefault="002F4B70" w:rsidP="002F4B70">
            <w:pPr>
              <w:rPr>
                <w:rFonts w:eastAsia="標楷體"/>
                <w:bCs/>
              </w:rPr>
            </w:pPr>
            <w:r w:rsidRPr="000C0AC0">
              <w:rPr>
                <w:rFonts w:eastAsia="標楷體"/>
                <w:bCs/>
              </w:rPr>
              <w:t>當學年度之資本支出計畫應於當學年度結束前執行完成，學年度結束時應停止當學年度之採購程序。但符合下列情形之一者，得申請資本支出預算保留並繼續執行使用原編列之預算</w:t>
            </w:r>
            <w:r w:rsidRPr="000C0AC0">
              <w:rPr>
                <w:rFonts w:eastAsia="標楷體" w:hint="eastAsia"/>
                <w:bCs/>
              </w:rPr>
              <w:t>：</w:t>
            </w:r>
          </w:p>
          <w:p w:rsidR="002F4B70" w:rsidRPr="000C0AC0" w:rsidRDefault="002F4B70" w:rsidP="002F4B70">
            <w:pPr>
              <w:ind w:left="480" w:hangingChars="200" w:hanging="480"/>
              <w:rPr>
                <w:rFonts w:eastAsia="標楷體"/>
                <w:bCs/>
              </w:rPr>
            </w:pPr>
            <w:r w:rsidRPr="000C0AC0">
              <w:rPr>
                <w:rFonts w:eastAsia="標楷體"/>
                <w:bCs/>
              </w:rPr>
              <w:t>一、</w:t>
            </w:r>
            <w:r w:rsidR="000C0AC0" w:rsidRPr="000C0AC0">
              <w:rPr>
                <w:rFonts w:eastAsia="標楷體" w:hint="eastAsia"/>
                <w:bCs/>
              </w:rPr>
              <w:t>業經完成決標之資本支出</w:t>
            </w:r>
            <w:r w:rsidRPr="000C0AC0">
              <w:rPr>
                <w:rFonts w:eastAsia="標楷體"/>
                <w:bCs/>
              </w:rPr>
              <w:t>。</w:t>
            </w:r>
          </w:p>
          <w:p w:rsidR="002F4B70" w:rsidRPr="000C0AC0" w:rsidRDefault="002F4B70" w:rsidP="002F4B70">
            <w:pPr>
              <w:ind w:left="480" w:hangingChars="200" w:hanging="480"/>
              <w:rPr>
                <w:rFonts w:eastAsia="標楷體"/>
                <w:bCs/>
              </w:rPr>
            </w:pPr>
            <w:r w:rsidRPr="000C0AC0">
              <w:rPr>
                <w:rFonts w:eastAsia="標楷體"/>
                <w:bCs/>
              </w:rPr>
              <w:t>二、預算年度結束時尚未完成採購程序且未於次一學年度編列相同預算，具特殊原因經檢討有必須繼續執行之資本支出計畫。</w:t>
            </w:r>
          </w:p>
        </w:tc>
      </w:tr>
      <w:tr w:rsidR="000C0AC0" w:rsidRPr="000C0AC0" w:rsidTr="002F4B70">
        <w:trPr>
          <w:jc w:val="center"/>
        </w:trPr>
        <w:tc>
          <w:tcPr>
            <w:tcW w:w="964" w:type="dxa"/>
          </w:tcPr>
          <w:p w:rsidR="002F4B70" w:rsidRPr="000C0AC0" w:rsidRDefault="002F4B70" w:rsidP="002F4B70">
            <w:pPr>
              <w:rPr>
                <w:rFonts w:eastAsia="標楷體"/>
                <w:bCs/>
              </w:rPr>
            </w:pPr>
            <w:r w:rsidRPr="000C0AC0">
              <w:rPr>
                <w:rFonts w:eastAsia="標楷體"/>
                <w:bCs/>
              </w:rPr>
              <w:t>第</w:t>
            </w:r>
            <w:r w:rsidRPr="000C0AC0">
              <w:rPr>
                <w:rFonts w:eastAsia="標楷體"/>
                <w:bCs/>
              </w:rPr>
              <w:t>3</w:t>
            </w:r>
            <w:r w:rsidRPr="000C0AC0">
              <w:rPr>
                <w:rFonts w:eastAsia="標楷體"/>
                <w:bCs/>
              </w:rPr>
              <w:t>條</w:t>
            </w:r>
          </w:p>
        </w:tc>
        <w:tc>
          <w:tcPr>
            <w:tcW w:w="8817" w:type="dxa"/>
          </w:tcPr>
          <w:p w:rsidR="002F4B70" w:rsidRPr="000C0AC0" w:rsidRDefault="002F4B70" w:rsidP="002F4B70">
            <w:pPr>
              <w:rPr>
                <w:rFonts w:eastAsia="標楷體"/>
                <w:bCs/>
              </w:rPr>
            </w:pPr>
            <w:r w:rsidRPr="000C0AC0">
              <w:rPr>
                <w:rFonts w:eastAsia="標楷體"/>
                <w:bCs/>
              </w:rPr>
              <w:t>資本支出預算保留及使用之申請程序</w:t>
            </w:r>
            <w:r w:rsidRPr="000C0AC0">
              <w:rPr>
                <w:rFonts w:eastAsia="標楷體" w:hint="eastAsia"/>
                <w:bCs/>
              </w:rPr>
              <w:t>：</w:t>
            </w:r>
          </w:p>
          <w:p w:rsidR="002F4B70" w:rsidRPr="000C0AC0" w:rsidRDefault="002F4B70" w:rsidP="002F4B70">
            <w:pPr>
              <w:ind w:left="480" w:hangingChars="200" w:hanging="480"/>
              <w:rPr>
                <w:rFonts w:eastAsia="標楷體"/>
                <w:bCs/>
              </w:rPr>
            </w:pPr>
            <w:r w:rsidRPr="000C0AC0">
              <w:rPr>
                <w:rFonts w:eastAsia="標楷體"/>
                <w:bCs/>
              </w:rPr>
              <w:t>一、填報資本支出預算保留及使用申請表。</w:t>
            </w:r>
          </w:p>
          <w:p w:rsidR="002F4B70" w:rsidRPr="000C0AC0" w:rsidRDefault="002F4B70" w:rsidP="002F4B70">
            <w:pPr>
              <w:ind w:left="480" w:hangingChars="200" w:hanging="480"/>
              <w:rPr>
                <w:rFonts w:eastAsia="標楷體"/>
                <w:bCs/>
                <w:u w:val="single"/>
              </w:rPr>
            </w:pPr>
            <w:r w:rsidRPr="000C0AC0">
              <w:rPr>
                <w:rFonts w:eastAsia="標楷體"/>
                <w:bCs/>
              </w:rPr>
              <w:t>二、前條第一項第一款之情形者，於學年度結束後十五日內由採購單位彙總填報資本支出預算保留及使用申請表，並陳請校長核准。</w:t>
            </w:r>
          </w:p>
          <w:p w:rsidR="002F4B70" w:rsidRPr="000C0AC0" w:rsidRDefault="002F4B70" w:rsidP="002F4B70">
            <w:pPr>
              <w:ind w:left="480" w:hangingChars="200" w:hanging="480"/>
              <w:rPr>
                <w:rFonts w:eastAsia="標楷體"/>
                <w:bCs/>
              </w:rPr>
            </w:pPr>
            <w:r w:rsidRPr="000C0AC0">
              <w:rPr>
                <w:rFonts w:eastAsia="標楷體"/>
                <w:bCs/>
              </w:rPr>
              <w:t>三、前條第一項第二款之情形者，於學年度結束後十五日內由原資本支出計畫執行單位填報資本支出預算保留及使用申請表，及詳述保留繼續使用之原因，並陳請校長核准。</w:t>
            </w:r>
          </w:p>
        </w:tc>
      </w:tr>
      <w:tr w:rsidR="000C0AC0" w:rsidRPr="000C0AC0" w:rsidTr="002F4B70">
        <w:trPr>
          <w:jc w:val="center"/>
        </w:trPr>
        <w:tc>
          <w:tcPr>
            <w:tcW w:w="964" w:type="dxa"/>
          </w:tcPr>
          <w:p w:rsidR="002F4B70" w:rsidRPr="000C0AC0" w:rsidRDefault="002F4B70" w:rsidP="002F4B70">
            <w:pPr>
              <w:rPr>
                <w:rFonts w:eastAsia="標楷體"/>
                <w:bCs/>
              </w:rPr>
            </w:pPr>
            <w:r w:rsidRPr="000C0AC0">
              <w:rPr>
                <w:rFonts w:eastAsia="標楷體"/>
                <w:bCs/>
              </w:rPr>
              <w:t>第</w:t>
            </w:r>
            <w:r w:rsidRPr="000C0AC0">
              <w:rPr>
                <w:rFonts w:eastAsia="標楷體"/>
                <w:bCs/>
              </w:rPr>
              <w:t>4</w:t>
            </w:r>
            <w:r w:rsidRPr="000C0AC0">
              <w:rPr>
                <w:rFonts w:eastAsia="標楷體"/>
                <w:bCs/>
              </w:rPr>
              <w:t>條</w:t>
            </w:r>
          </w:p>
        </w:tc>
        <w:tc>
          <w:tcPr>
            <w:tcW w:w="8817" w:type="dxa"/>
          </w:tcPr>
          <w:p w:rsidR="002F4B70" w:rsidRPr="000C0AC0" w:rsidRDefault="002F4B70" w:rsidP="002F4B70">
            <w:pPr>
              <w:rPr>
                <w:rFonts w:eastAsia="標楷體"/>
                <w:bCs/>
              </w:rPr>
            </w:pPr>
            <w:r w:rsidRPr="000C0AC0">
              <w:rPr>
                <w:rFonts w:eastAsia="標楷體"/>
                <w:bCs/>
              </w:rPr>
              <w:t>經核准之資本支出預算保留及使用申請表於學年度結束後一個月內送交會計室，經會計室彙總相關資料後函報董事會核備，以繼續執行原編列之預算。核准保留繼續使用之資本支出預算應於次一學年度前完成核銷，逾期不得再保留及使用。</w:t>
            </w:r>
          </w:p>
        </w:tc>
      </w:tr>
      <w:tr w:rsidR="000C0AC0" w:rsidRPr="000C0AC0" w:rsidTr="002F4B70">
        <w:trPr>
          <w:jc w:val="center"/>
        </w:trPr>
        <w:tc>
          <w:tcPr>
            <w:tcW w:w="964" w:type="dxa"/>
          </w:tcPr>
          <w:p w:rsidR="002F4B70" w:rsidRPr="000C0AC0" w:rsidRDefault="002F4B70" w:rsidP="002F4B70">
            <w:pPr>
              <w:rPr>
                <w:rFonts w:eastAsia="標楷體"/>
                <w:bCs/>
              </w:rPr>
            </w:pPr>
            <w:r w:rsidRPr="000C0AC0">
              <w:rPr>
                <w:rFonts w:eastAsia="標楷體"/>
                <w:bCs/>
              </w:rPr>
              <w:t>第</w:t>
            </w:r>
            <w:r w:rsidRPr="000C0AC0">
              <w:rPr>
                <w:rFonts w:eastAsia="標楷體"/>
                <w:bCs/>
              </w:rPr>
              <w:t>5</w:t>
            </w:r>
            <w:r w:rsidRPr="000C0AC0">
              <w:rPr>
                <w:rFonts w:eastAsia="標楷體"/>
                <w:bCs/>
              </w:rPr>
              <w:t>條</w:t>
            </w:r>
          </w:p>
        </w:tc>
        <w:tc>
          <w:tcPr>
            <w:tcW w:w="8817" w:type="dxa"/>
          </w:tcPr>
          <w:p w:rsidR="002F4B70" w:rsidRPr="000C0AC0" w:rsidRDefault="002F4B70" w:rsidP="002F4B70">
            <w:pPr>
              <w:rPr>
                <w:rFonts w:eastAsia="標楷體"/>
                <w:bCs/>
              </w:rPr>
            </w:pPr>
            <w:r w:rsidRPr="000C0AC0">
              <w:rPr>
                <w:rFonts w:eastAsia="標楷體"/>
                <w:bCs/>
              </w:rPr>
              <w:t>本校附屬機構及相關事業資本支出預算保留及使用辦法，由附屬機構及相關事業另訂之。</w:t>
            </w:r>
          </w:p>
        </w:tc>
      </w:tr>
      <w:tr w:rsidR="002F4B70" w:rsidRPr="000C0AC0" w:rsidTr="002F4B70">
        <w:trPr>
          <w:jc w:val="center"/>
        </w:trPr>
        <w:tc>
          <w:tcPr>
            <w:tcW w:w="964" w:type="dxa"/>
          </w:tcPr>
          <w:p w:rsidR="002F4B70" w:rsidRPr="000C0AC0" w:rsidRDefault="002F4B70" w:rsidP="002F4B70">
            <w:pPr>
              <w:rPr>
                <w:rFonts w:eastAsia="標楷體"/>
                <w:bCs/>
              </w:rPr>
            </w:pPr>
            <w:r w:rsidRPr="000C0AC0">
              <w:rPr>
                <w:rFonts w:eastAsia="標楷體"/>
                <w:bCs/>
              </w:rPr>
              <w:t>第</w:t>
            </w:r>
            <w:r w:rsidRPr="000C0AC0">
              <w:rPr>
                <w:rFonts w:eastAsia="標楷體"/>
                <w:bCs/>
              </w:rPr>
              <w:t>6</w:t>
            </w:r>
            <w:r w:rsidRPr="000C0AC0">
              <w:rPr>
                <w:rFonts w:eastAsia="標楷體"/>
                <w:bCs/>
              </w:rPr>
              <w:t>條</w:t>
            </w:r>
          </w:p>
        </w:tc>
        <w:tc>
          <w:tcPr>
            <w:tcW w:w="8817" w:type="dxa"/>
          </w:tcPr>
          <w:p w:rsidR="002F4B70" w:rsidRPr="000C0AC0" w:rsidRDefault="000C0AC0" w:rsidP="002F4B70">
            <w:pPr>
              <w:rPr>
                <w:rFonts w:eastAsia="標楷體"/>
                <w:bCs/>
              </w:rPr>
            </w:pPr>
            <w:r w:rsidRPr="000C0AC0">
              <w:rPr>
                <w:rFonts w:eastAsia="標楷體" w:hint="eastAsia"/>
                <w:bCs/>
              </w:rPr>
              <w:t>本辦法經行政會議及董事會議審議通過後公布實施，修正時亦同。</w:t>
            </w:r>
          </w:p>
        </w:tc>
      </w:tr>
      <w:bookmarkEnd w:id="0"/>
    </w:tbl>
    <w:p w:rsidR="002F4B70" w:rsidRPr="000C0AC0" w:rsidRDefault="002F4B70">
      <w:pPr>
        <w:rPr>
          <w:rFonts w:ascii="標楷體" w:eastAsia="標楷體"/>
          <w:b/>
          <w:bCs/>
        </w:rPr>
      </w:pPr>
    </w:p>
    <w:sectPr w:rsidR="002F4B70" w:rsidRPr="000C0AC0" w:rsidSect="00E76255">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CB" w:rsidRDefault="002E03CB">
      <w:r>
        <w:separator/>
      </w:r>
    </w:p>
  </w:endnote>
  <w:endnote w:type="continuationSeparator" w:id="0">
    <w:p w:rsidR="002E03CB" w:rsidRDefault="002E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1F" w:rsidRPr="00085470" w:rsidRDefault="00325D1F" w:rsidP="00085470">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CB" w:rsidRDefault="002E03CB">
      <w:r>
        <w:separator/>
      </w:r>
    </w:p>
  </w:footnote>
  <w:footnote w:type="continuationSeparator" w:id="0">
    <w:p w:rsidR="002E03CB" w:rsidRDefault="002E0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49AE"/>
    <w:multiLevelType w:val="hybridMultilevel"/>
    <w:tmpl w:val="AC1E67B4"/>
    <w:lvl w:ilvl="0" w:tplc="726ABBE0">
      <w:start w:val="1"/>
      <w:numFmt w:val="taiwaneseCountingThousand"/>
      <w:lvlText w:val="%1、"/>
      <w:lvlJc w:val="left"/>
      <w:pPr>
        <w:tabs>
          <w:tab w:val="num" w:pos="432"/>
        </w:tabs>
        <w:ind w:left="432" w:hanging="432"/>
      </w:pPr>
      <w:rPr>
        <w:rFonts w:hint="eastAsia"/>
      </w:rPr>
    </w:lvl>
    <w:lvl w:ilvl="1" w:tplc="C76CF7E6">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88B3E3C"/>
    <w:multiLevelType w:val="hybridMultilevel"/>
    <w:tmpl w:val="46F0B0D8"/>
    <w:lvl w:ilvl="0" w:tplc="593A7FF4">
      <w:start w:val="1"/>
      <w:numFmt w:val="taiwaneseCountingThousand"/>
      <w:lvlText w:val="%1、"/>
      <w:lvlJc w:val="left"/>
      <w:pPr>
        <w:ind w:left="1351" w:hanging="50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98"/>
    <w:rsid w:val="00085470"/>
    <w:rsid w:val="00097E7D"/>
    <w:rsid w:val="000C0AC0"/>
    <w:rsid w:val="00103FA7"/>
    <w:rsid w:val="00134680"/>
    <w:rsid w:val="00175BEF"/>
    <w:rsid w:val="001964AB"/>
    <w:rsid w:val="001F2CA6"/>
    <w:rsid w:val="002125E5"/>
    <w:rsid w:val="002B38E0"/>
    <w:rsid w:val="002B3A4A"/>
    <w:rsid w:val="002E03CB"/>
    <w:rsid w:val="002F4B70"/>
    <w:rsid w:val="00325D1F"/>
    <w:rsid w:val="00387B2D"/>
    <w:rsid w:val="003C5D82"/>
    <w:rsid w:val="0043716E"/>
    <w:rsid w:val="00441934"/>
    <w:rsid w:val="00454378"/>
    <w:rsid w:val="004A54D3"/>
    <w:rsid w:val="004B0E3A"/>
    <w:rsid w:val="00532D8B"/>
    <w:rsid w:val="00565836"/>
    <w:rsid w:val="00661DEB"/>
    <w:rsid w:val="00683963"/>
    <w:rsid w:val="00686511"/>
    <w:rsid w:val="006E6DB5"/>
    <w:rsid w:val="00730BB9"/>
    <w:rsid w:val="0073646A"/>
    <w:rsid w:val="00801053"/>
    <w:rsid w:val="008301B6"/>
    <w:rsid w:val="00894DFF"/>
    <w:rsid w:val="008E73B8"/>
    <w:rsid w:val="00922BA3"/>
    <w:rsid w:val="00964170"/>
    <w:rsid w:val="00966BBC"/>
    <w:rsid w:val="009842A6"/>
    <w:rsid w:val="009B5292"/>
    <w:rsid w:val="00A10FFF"/>
    <w:rsid w:val="00A3230A"/>
    <w:rsid w:val="00A67393"/>
    <w:rsid w:val="00AA24E3"/>
    <w:rsid w:val="00AA6715"/>
    <w:rsid w:val="00AF6832"/>
    <w:rsid w:val="00B62AAF"/>
    <w:rsid w:val="00B62BF7"/>
    <w:rsid w:val="00BC4787"/>
    <w:rsid w:val="00C0713D"/>
    <w:rsid w:val="00C253F5"/>
    <w:rsid w:val="00CD0426"/>
    <w:rsid w:val="00CE13AA"/>
    <w:rsid w:val="00D133A5"/>
    <w:rsid w:val="00D20E04"/>
    <w:rsid w:val="00D71035"/>
    <w:rsid w:val="00E1018F"/>
    <w:rsid w:val="00E76255"/>
    <w:rsid w:val="00E9556D"/>
    <w:rsid w:val="00F00854"/>
    <w:rsid w:val="00F1527E"/>
    <w:rsid w:val="00F258A3"/>
    <w:rsid w:val="00F36C98"/>
    <w:rsid w:val="00F812E6"/>
    <w:rsid w:val="00FA2328"/>
    <w:rsid w:val="00FF1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1C478"/>
  <w15:chartTrackingRefBased/>
  <w15:docId w15:val="{B002B46A-F2DC-4493-B45D-C33CC6C7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semiHidden/>
    <w:rsid w:val="008301B6"/>
    <w:rPr>
      <w:rFonts w:ascii="Arial" w:hAnsi="Arial"/>
      <w:sz w:val="18"/>
      <w:szCs w:val="18"/>
    </w:rPr>
  </w:style>
  <w:style w:type="table" w:styleId="a6">
    <w:name w:val="Table Grid"/>
    <w:basedOn w:val="a1"/>
    <w:uiPriority w:val="59"/>
    <w:rsid w:val="002F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預算流用要點</dc:title>
  <dc:subject/>
  <dc:creator>佛光人文社會學院</dc:creator>
  <cp:keywords/>
  <cp:lastModifiedBy>Yu-Shan Wang</cp:lastModifiedBy>
  <cp:revision>2</cp:revision>
  <cp:lastPrinted>2018-08-02T02:52:00Z</cp:lastPrinted>
  <dcterms:created xsi:type="dcterms:W3CDTF">2018-12-10T07:51:00Z</dcterms:created>
  <dcterms:modified xsi:type="dcterms:W3CDTF">2018-12-10T07:51:00Z</dcterms:modified>
</cp:coreProperties>
</file>