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3D07E" w14:textId="5E9B90F6" w:rsidR="004F5C63" w:rsidRPr="00916FFA" w:rsidRDefault="000C0E74" w:rsidP="00565563">
      <w:pPr>
        <w:rPr>
          <w:rFonts w:ascii="標楷體" w:eastAsia="標楷體" w:hAnsi="標楷體"/>
          <w:b/>
          <w:sz w:val="32"/>
          <w:szCs w:val="28"/>
        </w:rPr>
      </w:pPr>
      <w:r w:rsidRPr="00916FFA">
        <w:rPr>
          <w:rFonts w:ascii="標楷體" w:eastAsia="標楷體" w:hAnsi="標楷體" w:hint="eastAsia"/>
          <w:b/>
          <w:sz w:val="32"/>
          <w:szCs w:val="28"/>
        </w:rPr>
        <w:t>高雄醫學大學</w:t>
      </w:r>
      <w:r w:rsidR="001C7AF2" w:rsidRPr="00916FFA">
        <w:rPr>
          <w:rFonts w:ascii="標楷體" w:eastAsia="標楷體" w:hAnsi="標楷體" w:hint="eastAsia"/>
          <w:b/>
          <w:sz w:val="32"/>
          <w:szCs w:val="28"/>
        </w:rPr>
        <w:t>雙聯學制學位論文口試</w:t>
      </w:r>
      <w:r w:rsidR="00B50D56" w:rsidRPr="00916FFA">
        <w:rPr>
          <w:rFonts w:ascii="標楷體" w:eastAsia="標楷體" w:hAnsi="標楷體" w:hint="eastAsia"/>
          <w:b/>
          <w:sz w:val="32"/>
          <w:szCs w:val="28"/>
        </w:rPr>
        <w:t>委員</w:t>
      </w:r>
      <w:r w:rsidR="001C7AF2" w:rsidRPr="00916FFA">
        <w:rPr>
          <w:rFonts w:ascii="標楷體" w:eastAsia="標楷體" w:hAnsi="標楷體" w:hint="eastAsia"/>
          <w:b/>
          <w:sz w:val="32"/>
          <w:szCs w:val="28"/>
        </w:rPr>
        <w:t>補助要點</w:t>
      </w:r>
    </w:p>
    <w:p w14:paraId="6AD3D07F" w14:textId="77777777" w:rsidR="0006337B" w:rsidRPr="00916FFA" w:rsidRDefault="0006337B" w:rsidP="0006337B">
      <w:pPr>
        <w:tabs>
          <w:tab w:val="left" w:pos="6480"/>
        </w:tabs>
        <w:spacing w:line="0" w:lineRule="atLeast"/>
        <w:ind w:leftChars="2303" w:left="5527" w:right="-285"/>
        <w:rPr>
          <w:rFonts w:ascii="Times New Roman" w:eastAsia="標楷體" w:hAnsi="Times New Roman"/>
          <w:sz w:val="20"/>
          <w:szCs w:val="20"/>
        </w:rPr>
      </w:pPr>
      <w:bookmarkStart w:id="0" w:name="_Hlk504048957"/>
      <w:r w:rsidRPr="00916FFA">
        <w:rPr>
          <w:rFonts w:ascii="Times New Roman" w:eastAsia="標楷體" w:hAnsi="Times New Roman" w:hint="eastAsia"/>
          <w:sz w:val="20"/>
          <w:szCs w:val="20"/>
        </w:rPr>
        <w:t>107</w:t>
      </w:r>
      <w:r w:rsidRPr="00916FFA">
        <w:rPr>
          <w:rFonts w:ascii="Times New Roman" w:eastAsia="標楷體" w:hAnsi="Times New Roman"/>
          <w:sz w:val="20"/>
          <w:szCs w:val="20"/>
        </w:rPr>
        <w:t>.01</w:t>
      </w:r>
      <w:r w:rsidR="008A4E4A" w:rsidRPr="00916FFA">
        <w:rPr>
          <w:rFonts w:ascii="Times New Roman" w:eastAsia="標楷體" w:hAnsi="Times New Roman" w:hint="eastAsia"/>
          <w:sz w:val="20"/>
          <w:szCs w:val="20"/>
        </w:rPr>
        <w:t>.</w:t>
      </w:r>
      <w:r w:rsidRPr="00916FFA">
        <w:rPr>
          <w:rFonts w:ascii="Times New Roman" w:eastAsia="標楷體" w:hAnsi="Times New Roman"/>
          <w:sz w:val="20"/>
          <w:szCs w:val="20"/>
        </w:rPr>
        <w:t>18</w:t>
      </w:r>
      <w:r w:rsidRPr="00916FFA">
        <w:rPr>
          <w:rFonts w:ascii="Times New Roman" w:eastAsia="標楷體" w:hAnsi="Times New Roman"/>
          <w:sz w:val="20"/>
          <w:szCs w:val="20"/>
        </w:rPr>
        <w:tab/>
        <w:t>106</w:t>
      </w:r>
      <w:r w:rsidRPr="00916FFA">
        <w:rPr>
          <w:rFonts w:ascii="Times New Roman" w:eastAsia="標楷體" w:hAnsi="Times New Roman" w:hint="eastAsia"/>
          <w:sz w:val="20"/>
          <w:szCs w:val="20"/>
        </w:rPr>
        <w:t>學年度第</w:t>
      </w:r>
      <w:r w:rsidRPr="00916FFA">
        <w:rPr>
          <w:rFonts w:ascii="Times New Roman" w:eastAsia="標楷體" w:hAnsi="Times New Roman" w:hint="eastAsia"/>
          <w:sz w:val="20"/>
          <w:szCs w:val="20"/>
        </w:rPr>
        <w:t>6</w:t>
      </w:r>
      <w:r w:rsidRPr="00916FFA">
        <w:rPr>
          <w:rFonts w:ascii="Times New Roman" w:eastAsia="標楷體" w:hAnsi="Times New Roman" w:hint="eastAsia"/>
          <w:sz w:val="20"/>
          <w:szCs w:val="20"/>
        </w:rPr>
        <w:t>次行政會議通過</w:t>
      </w:r>
    </w:p>
    <w:bookmarkEnd w:id="0"/>
    <w:p w14:paraId="6AD3D080" w14:textId="77777777" w:rsidR="0006337B" w:rsidRPr="00916FFA" w:rsidRDefault="0006337B" w:rsidP="0006337B">
      <w:pPr>
        <w:tabs>
          <w:tab w:val="left" w:pos="6521"/>
        </w:tabs>
        <w:spacing w:line="0" w:lineRule="atLeast"/>
        <w:ind w:leftChars="2303" w:left="5527" w:right="-285"/>
        <w:rPr>
          <w:rFonts w:ascii="Times New Roman" w:eastAsia="標楷體" w:hAnsi="Times New Roman"/>
          <w:sz w:val="20"/>
          <w:szCs w:val="20"/>
        </w:rPr>
      </w:pPr>
    </w:p>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930"/>
      </w:tblGrid>
      <w:tr w:rsidR="00916FFA" w:rsidRPr="00916FFA" w14:paraId="6AD3D083" w14:textId="77777777" w:rsidTr="001608DC">
        <w:tc>
          <w:tcPr>
            <w:tcW w:w="709" w:type="dxa"/>
          </w:tcPr>
          <w:p w14:paraId="6AD3D081" w14:textId="77777777" w:rsidR="00565563" w:rsidRPr="00916FFA" w:rsidRDefault="00D83B45" w:rsidP="001608DC">
            <w:pPr>
              <w:ind w:rightChars="-45" w:right="-108"/>
              <w:jc w:val="right"/>
              <w:rPr>
                <w:rFonts w:ascii="Times New Roman" w:eastAsia="標楷體" w:hAnsi="Times New Roman"/>
              </w:rPr>
            </w:pPr>
            <w:r w:rsidRPr="00916FFA">
              <w:rPr>
                <w:rFonts w:ascii="Times New Roman" w:eastAsia="標楷體" w:hAnsi="Times New Roman" w:hint="eastAsia"/>
              </w:rPr>
              <w:t>一、</w:t>
            </w:r>
          </w:p>
        </w:tc>
        <w:tc>
          <w:tcPr>
            <w:tcW w:w="8930" w:type="dxa"/>
          </w:tcPr>
          <w:p w14:paraId="6AD3D082" w14:textId="77777777" w:rsidR="00565563" w:rsidRPr="00916FFA" w:rsidRDefault="00565563" w:rsidP="00565563">
            <w:pPr>
              <w:jc w:val="both"/>
              <w:rPr>
                <w:rFonts w:ascii="Times New Roman" w:eastAsia="標楷體" w:hAnsi="Times New Roman"/>
              </w:rPr>
            </w:pPr>
            <w:r w:rsidRPr="00916FFA">
              <w:rPr>
                <w:rFonts w:ascii="Times New Roman" w:eastAsia="標楷體" w:hAnsi="Times New Roman"/>
              </w:rPr>
              <w:t>本校為申請雙聯學制學位論文口試委員補助有所依循，特訂定「高雄醫學大學雙聯學制學位論文口試委員補助要點」</w:t>
            </w:r>
            <w:r w:rsidRPr="00916FFA">
              <w:rPr>
                <w:rFonts w:ascii="Times New Roman" w:eastAsia="標楷體" w:hAnsi="Times New Roman"/>
              </w:rPr>
              <w:t>(</w:t>
            </w:r>
            <w:r w:rsidRPr="00916FFA">
              <w:rPr>
                <w:rFonts w:ascii="Times New Roman" w:eastAsia="標楷體" w:hAnsi="Times New Roman"/>
              </w:rPr>
              <w:t>以下簡稱本要點</w:t>
            </w:r>
            <w:r w:rsidRPr="00916FFA">
              <w:rPr>
                <w:rFonts w:ascii="Times New Roman" w:eastAsia="標楷體" w:hAnsi="Times New Roman"/>
              </w:rPr>
              <w:t>)</w:t>
            </w:r>
            <w:r w:rsidRPr="00916FFA">
              <w:rPr>
                <w:rFonts w:ascii="Times New Roman" w:eastAsia="標楷體" w:hAnsi="Times New Roman"/>
              </w:rPr>
              <w:t>。</w:t>
            </w:r>
          </w:p>
        </w:tc>
      </w:tr>
      <w:tr w:rsidR="00916FFA" w:rsidRPr="00916FFA" w14:paraId="6AD3D087" w14:textId="77777777" w:rsidTr="001608DC">
        <w:tc>
          <w:tcPr>
            <w:tcW w:w="709" w:type="dxa"/>
          </w:tcPr>
          <w:p w14:paraId="6AD3D084" w14:textId="77777777" w:rsidR="00D83B45" w:rsidRPr="00916FFA" w:rsidRDefault="00D83B45" w:rsidP="001608DC">
            <w:pPr>
              <w:ind w:rightChars="-45" w:right="-108"/>
              <w:jc w:val="right"/>
              <w:rPr>
                <w:rFonts w:ascii="Times New Roman" w:eastAsia="標楷體" w:hAnsi="Times New Roman"/>
              </w:rPr>
            </w:pPr>
            <w:r w:rsidRPr="00916FFA">
              <w:rPr>
                <w:rFonts w:ascii="Times New Roman" w:eastAsia="標楷體" w:hAnsi="Times New Roman" w:hint="eastAsia"/>
              </w:rPr>
              <w:t>二、</w:t>
            </w:r>
          </w:p>
        </w:tc>
        <w:tc>
          <w:tcPr>
            <w:tcW w:w="8930" w:type="dxa"/>
          </w:tcPr>
          <w:p w14:paraId="6AD3D086" w14:textId="4A3F92FE" w:rsidR="00D83B45" w:rsidRPr="00916FFA" w:rsidRDefault="00D83B45" w:rsidP="00480C31">
            <w:pPr>
              <w:jc w:val="both"/>
              <w:rPr>
                <w:rFonts w:ascii="Times New Roman" w:eastAsia="標楷體" w:hAnsi="Times New Roman"/>
              </w:rPr>
            </w:pPr>
            <w:r w:rsidRPr="00916FFA">
              <w:rPr>
                <w:rFonts w:ascii="Times New Roman" w:eastAsia="標楷體" w:hAnsi="Times New Roman"/>
              </w:rPr>
              <w:t>本要點使用原則以符合高雄醫學大學雙聯學制實施辦法定義學生之學位口試委員為主。</w:t>
            </w:r>
          </w:p>
        </w:tc>
      </w:tr>
      <w:tr w:rsidR="00916FFA" w:rsidRPr="00916FFA" w14:paraId="6AD3D08A" w14:textId="77777777" w:rsidTr="001608DC">
        <w:tc>
          <w:tcPr>
            <w:tcW w:w="709" w:type="dxa"/>
          </w:tcPr>
          <w:p w14:paraId="6AD3D088" w14:textId="77777777" w:rsidR="00D83B45" w:rsidRPr="00916FFA" w:rsidRDefault="00D83B45" w:rsidP="001608DC">
            <w:pPr>
              <w:ind w:rightChars="-45" w:right="-108"/>
              <w:jc w:val="right"/>
              <w:rPr>
                <w:rFonts w:ascii="Times New Roman" w:eastAsia="標楷體" w:hAnsi="Times New Roman"/>
              </w:rPr>
            </w:pPr>
            <w:r w:rsidRPr="00916FFA">
              <w:rPr>
                <w:rFonts w:ascii="Times New Roman" w:eastAsia="標楷體" w:hAnsi="Times New Roman" w:hint="eastAsia"/>
              </w:rPr>
              <w:t>三、</w:t>
            </w:r>
          </w:p>
        </w:tc>
        <w:tc>
          <w:tcPr>
            <w:tcW w:w="8930" w:type="dxa"/>
          </w:tcPr>
          <w:p w14:paraId="6AD3D089" w14:textId="77777777" w:rsidR="00D83B45" w:rsidRPr="00916FFA" w:rsidRDefault="00D83B45" w:rsidP="00D83B45">
            <w:pPr>
              <w:jc w:val="both"/>
              <w:rPr>
                <w:rFonts w:ascii="Times New Roman" w:eastAsia="標楷體" w:hAnsi="Times New Roman"/>
              </w:rPr>
            </w:pPr>
            <w:r w:rsidRPr="00916FFA">
              <w:rPr>
                <w:rFonts w:ascii="Times New Roman" w:eastAsia="標楷體" w:hAnsi="Times New Roman"/>
              </w:rPr>
              <w:t>學位論文之口試委員補助以該生在二校之指導教授各一名為限。</w:t>
            </w:r>
          </w:p>
        </w:tc>
      </w:tr>
      <w:tr w:rsidR="00916FFA" w:rsidRPr="00916FFA" w14:paraId="6AD3D08E" w14:textId="77777777" w:rsidTr="001608DC">
        <w:tc>
          <w:tcPr>
            <w:tcW w:w="709" w:type="dxa"/>
          </w:tcPr>
          <w:p w14:paraId="6AD3D08B" w14:textId="77777777" w:rsidR="00D83B45" w:rsidRPr="00916FFA" w:rsidRDefault="00D83B45" w:rsidP="001608DC">
            <w:pPr>
              <w:ind w:rightChars="-45" w:right="-108"/>
              <w:jc w:val="right"/>
              <w:rPr>
                <w:rFonts w:ascii="Times New Roman" w:eastAsia="標楷體" w:hAnsi="Times New Roman"/>
              </w:rPr>
            </w:pPr>
            <w:r w:rsidRPr="00916FFA">
              <w:rPr>
                <w:rFonts w:ascii="Times New Roman" w:eastAsia="標楷體" w:hAnsi="Times New Roman" w:hint="eastAsia"/>
              </w:rPr>
              <w:t>四、</w:t>
            </w:r>
          </w:p>
        </w:tc>
        <w:tc>
          <w:tcPr>
            <w:tcW w:w="8930" w:type="dxa"/>
          </w:tcPr>
          <w:p w14:paraId="6AD3D08C" w14:textId="77777777" w:rsidR="00D83B45" w:rsidRPr="00916FFA" w:rsidRDefault="00D83B45" w:rsidP="00D83B45">
            <w:pPr>
              <w:jc w:val="both"/>
              <w:rPr>
                <w:rFonts w:ascii="Times New Roman" w:eastAsia="標楷體" w:hAnsi="Times New Roman"/>
              </w:rPr>
            </w:pPr>
            <w:r w:rsidRPr="00916FFA">
              <w:rPr>
                <w:rFonts w:ascii="Times New Roman" w:eastAsia="標楷體" w:hAnsi="Times New Roman"/>
              </w:rPr>
              <w:t>本校指導教授赴雙聯學校進行該生之口試補助，依「高雄醫學大學教職員工國外出差實施要點」補助；雙聯學校之指導教授赴本校進行口試，則依「高雄</w:t>
            </w:r>
          </w:p>
          <w:p w14:paraId="6AD3D08D" w14:textId="77777777" w:rsidR="00D83B45" w:rsidRPr="00916FFA" w:rsidRDefault="00D83B45" w:rsidP="00D83B45">
            <w:pPr>
              <w:jc w:val="both"/>
              <w:rPr>
                <w:rFonts w:ascii="Times New Roman" w:eastAsia="標楷體" w:hAnsi="Times New Roman"/>
              </w:rPr>
            </w:pPr>
            <w:r w:rsidRPr="00916FFA">
              <w:rPr>
                <w:rFonts w:ascii="Times New Roman" w:eastAsia="標楷體" w:hAnsi="Times New Roman"/>
              </w:rPr>
              <w:t>醫學大學學者專家指導、特別演講或校務諮詢費支付要點」補助。補助皆以三天為限；若未通過學位論文口試，則第二次學位論文口試不予以補助。</w:t>
            </w:r>
          </w:p>
        </w:tc>
      </w:tr>
      <w:tr w:rsidR="00916FFA" w:rsidRPr="00916FFA" w14:paraId="6AD3D092" w14:textId="77777777" w:rsidTr="001608DC">
        <w:tc>
          <w:tcPr>
            <w:tcW w:w="709" w:type="dxa"/>
          </w:tcPr>
          <w:p w14:paraId="6AD3D08F" w14:textId="77777777" w:rsidR="00D83B45" w:rsidRPr="00916FFA" w:rsidRDefault="00D83B45" w:rsidP="001608DC">
            <w:pPr>
              <w:ind w:rightChars="-45" w:right="-108"/>
              <w:jc w:val="right"/>
              <w:rPr>
                <w:rFonts w:ascii="Times New Roman" w:eastAsia="標楷體" w:hAnsi="Times New Roman"/>
              </w:rPr>
            </w:pPr>
            <w:r w:rsidRPr="00916FFA">
              <w:rPr>
                <w:rFonts w:ascii="Times New Roman" w:eastAsia="標楷體" w:hAnsi="Times New Roman" w:hint="eastAsia"/>
              </w:rPr>
              <w:t>五、</w:t>
            </w:r>
          </w:p>
        </w:tc>
        <w:tc>
          <w:tcPr>
            <w:tcW w:w="8930" w:type="dxa"/>
          </w:tcPr>
          <w:p w14:paraId="6AD3D091" w14:textId="7D9263BE" w:rsidR="00D83B45" w:rsidRPr="00916FFA" w:rsidRDefault="00D83B45" w:rsidP="003C25FC">
            <w:pPr>
              <w:jc w:val="both"/>
              <w:rPr>
                <w:rFonts w:ascii="Times New Roman" w:eastAsia="標楷體" w:hAnsi="Times New Roman"/>
              </w:rPr>
            </w:pPr>
            <w:r w:rsidRPr="00916FFA">
              <w:rPr>
                <w:rFonts w:ascii="Times New Roman" w:eastAsia="標楷體" w:hAnsi="Times New Roman"/>
              </w:rPr>
              <w:t>雙聯學校之指導教授赴本校進行口試期間所進行相關學術或教學活動，依相關</w:t>
            </w:r>
            <w:bookmarkStart w:id="1" w:name="_GoBack"/>
            <w:bookmarkEnd w:id="1"/>
            <w:r w:rsidRPr="00916FFA">
              <w:rPr>
                <w:rFonts w:ascii="Times New Roman" w:eastAsia="標楷體" w:hAnsi="Times New Roman"/>
              </w:rPr>
              <w:t>補助辦法辦理；本要點所需經費由申請政府單位補助及學校編列預算支應。</w:t>
            </w:r>
          </w:p>
        </w:tc>
      </w:tr>
      <w:tr w:rsidR="00916FFA" w:rsidRPr="00916FFA" w14:paraId="6AD3D095" w14:textId="77777777" w:rsidTr="001608DC">
        <w:tc>
          <w:tcPr>
            <w:tcW w:w="709" w:type="dxa"/>
          </w:tcPr>
          <w:p w14:paraId="6AD3D093" w14:textId="77777777" w:rsidR="00D83B45" w:rsidRPr="00916FFA" w:rsidRDefault="00D83B45" w:rsidP="001608DC">
            <w:pPr>
              <w:ind w:rightChars="-45" w:right="-108"/>
              <w:jc w:val="right"/>
              <w:rPr>
                <w:rFonts w:ascii="Times New Roman" w:eastAsia="標楷體" w:hAnsi="Times New Roman"/>
              </w:rPr>
            </w:pPr>
            <w:r w:rsidRPr="00916FFA">
              <w:rPr>
                <w:rFonts w:ascii="Times New Roman" w:eastAsia="標楷體" w:hAnsi="Times New Roman" w:hint="eastAsia"/>
              </w:rPr>
              <w:t>六、</w:t>
            </w:r>
          </w:p>
        </w:tc>
        <w:tc>
          <w:tcPr>
            <w:tcW w:w="8930" w:type="dxa"/>
          </w:tcPr>
          <w:p w14:paraId="6AD3D094" w14:textId="77777777" w:rsidR="00D83B45" w:rsidRPr="00916FFA" w:rsidRDefault="00D83B45" w:rsidP="00D83B45">
            <w:pPr>
              <w:jc w:val="both"/>
              <w:rPr>
                <w:rFonts w:ascii="Times New Roman" w:eastAsia="標楷體" w:hAnsi="Times New Roman"/>
              </w:rPr>
            </w:pPr>
            <w:r w:rsidRPr="00916FFA">
              <w:rPr>
                <w:rFonts w:ascii="Times New Roman" w:eastAsia="標楷體" w:hAnsi="Times New Roman"/>
              </w:rPr>
              <w:t>本要點若有未盡事宜，依相關法令規定辦理。</w:t>
            </w:r>
          </w:p>
        </w:tc>
      </w:tr>
      <w:tr w:rsidR="00D83B45" w:rsidRPr="00916FFA" w14:paraId="6AD3D098" w14:textId="77777777" w:rsidTr="001608DC">
        <w:tc>
          <w:tcPr>
            <w:tcW w:w="709" w:type="dxa"/>
          </w:tcPr>
          <w:p w14:paraId="6AD3D096" w14:textId="77777777" w:rsidR="00D83B45" w:rsidRPr="00916FFA" w:rsidRDefault="00D83B45" w:rsidP="001608DC">
            <w:pPr>
              <w:ind w:rightChars="-45" w:right="-108"/>
              <w:jc w:val="right"/>
              <w:rPr>
                <w:rFonts w:ascii="Times New Roman" w:eastAsia="標楷體" w:hAnsi="Times New Roman"/>
              </w:rPr>
            </w:pPr>
            <w:r w:rsidRPr="00916FFA">
              <w:rPr>
                <w:rFonts w:ascii="Times New Roman" w:eastAsia="標楷體" w:hAnsi="Times New Roman" w:hint="eastAsia"/>
              </w:rPr>
              <w:t>七、</w:t>
            </w:r>
          </w:p>
        </w:tc>
        <w:tc>
          <w:tcPr>
            <w:tcW w:w="8930" w:type="dxa"/>
          </w:tcPr>
          <w:p w14:paraId="6AD3D097" w14:textId="77777777" w:rsidR="00D83B45" w:rsidRPr="00916FFA" w:rsidRDefault="00D83B45" w:rsidP="00D83B45">
            <w:pPr>
              <w:jc w:val="both"/>
              <w:rPr>
                <w:rFonts w:ascii="Times New Roman" w:eastAsia="標楷體" w:hAnsi="Times New Roman"/>
              </w:rPr>
            </w:pPr>
            <w:r w:rsidRPr="00916FFA">
              <w:rPr>
                <w:rFonts w:ascii="Times New Roman" w:eastAsia="標楷體" w:hAnsi="Times New Roman"/>
              </w:rPr>
              <w:t>本要點經行政會議通過後實施。</w:t>
            </w:r>
          </w:p>
        </w:tc>
      </w:tr>
    </w:tbl>
    <w:p w14:paraId="6AD3D099" w14:textId="77777777" w:rsidR="001D16CF" w:rsidRPr="00916FFA" w:rsidRDefault="001D16CF" w:rsidP="00565563">
      <w:pPr>
        <w:rPr>
          <w:rFonts w:ascii="標楷體" w:eastAsia="標楷體" w:hAnsi="標楷體"/>
          <w:b/>
        </w:rPr>
      </w:pPr>
    </w:p>
    <w:sectPr w:rsidR="001D16CF" w:rsidRPr="00916FFA" w:rsidSect="0056556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93BE8" w14:textId="77777777" w:rsidR="00FB7734" w:rsidRDefault="00FB7734" w:rsidP="0043042B">
      <w:r>
        <w:separator/>
      </w:r>
    </w:p>
  </w:endnote>
  <w:endnote w:type="continuationSeparator" w:id="0">
    <w:p w14:paraId="2F50EE88" w14:textId="77777777" w:rsidR="00FB7734" w:rsidRDefault="00FB7734" w:rsidP="0043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6BC3A" w14:textId="77777777" w:rsidR="00FB7734" w:rsidRDefault="00FB7734" w:rsidP="0043042B">
      <w:r>
        <w:separator/>
      </w:r>
    </w:p>
  </w:footnote>
  <w:footnote w:type="continuationSeparator" w:id="0">
    <w:p w14:paraId="2C414DD4" w14:textId="77777777" w:rsidR="00FB7734" w:rsidRDefault="00FB7734" w:rsidP="004304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A73AA"/>
    <w:multiLevelType w:val="hybridMultilevel"/>
    <w:tmpl w:val="3FC0FD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0F0982"/>
    <w:multiLevelType w:val="hybridMultilevel"/>
    <w:tmpl w:val="D1C624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30D545D"/>
    <w:multiLevelType w:val="hybridMultilevel"/>
    <w:tmpl w:val="D69216E4"/>
    <w:lvl w:ilvl="0" w:tplc="04090015">
      <w:start w:val="1"/>
      <w:numFmt w:val="taiwaneseCountingThousand"/>
      <w:lvlText w:val="%1、"/>
      <w:lvlJc w:val="left"/>
      <w:pPr>
        <w:ind w:left="480" w:hanging="480"/>
      </w:pPr>
    </w:lvl>
    <w:lvl w:ilvl="1" w:tplc="B2666CFC">
      <w:start w:val="1"/>
      <w:numFmt w:val="taiwaneseCountingThousand"/>
      <w:lvlText w:val="(%2)"/>
      <w:lvlJc w:val="left"/>
      <w:pPr>
        <w:ind w:left="840" w:hanging="360"/>
      </w:pPr>
      <w:rPr>
        <w:rFonts w:ascii="Times New Roman" w:eastAsia="標楷體" w:hAnsi="Times New Roman" w:cs="Times New Roman"/>
        <w:color w:val="2A2A2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E53262"/>
    <w:multiLevelType w:val="multilevel"/>
    <w:tmpl w:val="265E6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C57404"/>
    <w:multiLevelType w:val="hybridMultilevel"/>
    <w:tmpl w:val="32008F1A"/>
    <w:lvl w:ilvl="0" w:tplc="B2666CFC">
      <w:start w:val="1"/>
      <w:numFmt w:val="taiwaneseCountingThousand"/>
      <w:lvlText w:val="(%1)"/>
      <w:lvlJc w:val="left"/>
      <w:pPr>
        <w:ind w:left="480" w:hanging="480"/>
      </w:pPr>
      <w:rPr>
        <w:rFonts w:ascii="Times New Roman" w:eastAsia="標楷體" w:hAnsi="Times New Roman" w:cs="Times New Roman"/>
        <w:color w:val="2A2A2A"/>
      </w:rPr>
    </w:lvl>
    <w:lvl w:ilvl="1" w:tplc="B2666CFC">
      <w:start w:val="1"/>
      <w:numFmt w:val="taiwaneseCountingThousand"/>
      <w:lvlText w:val="(%2)"/>
      <w:lvlJc w:val="left"/>
      <w:pPr>
        <w:ind w:left="840" w:hanging="360"/>
      </w:pPr>
      <w:rPr>
        <w:rFonts w:ascii="Times New Roman" w:eastAsia="標楷體" w:hAnsi="Times New Roman" w:cs="Times New Roman"/>
        <w:color w:val="2A2A2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925300"/>
    <w:multiLevelType w:val="hybridMultilevel"/>
    <w:tmpl w:val="C09CC5C4"/>
    <w:lvl w:ilvl="0" w:tplc="6EFA0D5E">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B3034FD"/>
    <w:multiLevelType w:val="hybridMultilevel"/>
    <w:tmpl w:val="B75CCAB6"/>
    <w:lvl w:ilvl="0" w:tplc="638EB79C">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F68541A"/>
    <w:multiLevelType w:val="hybridMultilevel"/>
    <w:tmpl w:val="286C075C"/>
    <w:lvl w:ilvl="0" w:tplc="B48606AA">
      <w:start w:val="1"/>
      <w:numFmt w:val="taiwaneseCountingThousand"/>
      <w:lvlText w:val="（%1）"/>
      <w:lvlJc w:val="left"/>
      <w:pPr>
        <w:ind w:left="810" w:hanging="810"/>
      </w:pPr>
      <w:rPr>
        <w:rFonts w:hint="default"/>
        <w:color w:val="2A2A2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6"/>
  </w:num>
  <w:num w:numId="3">
    <w:abstractNumId w:val="0"/>
  </w:num>
  <w:num w:numId="4">
    <w:abstractNumId w:val="3"/>
  </w:num>
  <w:num w:numId="5">
    <w:abstractNumId w:val="2"/>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4F9"/>
    <w:rsid w:val="00002716"/>
    <w:rsid w:val="00016BBE"/>
    <w:rsid w:val="0006337B"/>
    <w:rsid w:val="0009526F"/>
    <w:rsid w:val="000C0E74"/>
    <w:rsid w:val="000F67E5"/>
    <w:rsid w:val="00126DE9"/>
    <w:rsid w:val="00146C2E"/>
    <w:rsid w:val="00154336"/>
    <w:rsid w:val="001608DC"/>
    <w:rsid w:val="001845DF"/>
    <w:rsid w:val="001A0FED"/>
    <w:rsid w:val="001C7AF2"/>
    <w:rsid w:val="001D16CF"/>
    <w:rsid w:val="001F4F0B"/>
    <w:rsid w:val="0020273D"/>
    <w:rsid w:val="00211186"/>
    <w:rsid w:val="002156F4"/>
    <w:rsid w:val="0024248E"/>
    <w:rsid w:val="00266ADC"/>
    <w:rsid w:val="00286056"/>
    <w:rsid w:val="002A0F07"/>
    <w:rsid w:val="002D4C8A"/>
    <w:rsid w:val="002D69B0"/>
    <w:rsid w:val="002E3716"/>
    <w:rsid w:val="003004E6"/>
    <w:rsid w:val="003011AB"/>
    <w:rsid w:val="00302CDC"/>
    <w:rsid w:val="00341A02"/>
    <w:rsid w:val="00352058"/>
    <w:rsid w:val="00354B3A"/>
    <w:rsid w:val="003A2714"/>
    <w:rsid w:val="003A4446"/>
    <w:rsid w:val="003B5553"/>
    <w:rsid w:val="003C25FC"/>
    <w:rsid w:val="00404F47"/>
    <w:rsid w:val="00413396"/>
    <w:rsid w:val="004158E8"/>
    <w:rsid w:val="004240ED"/>
    <w:rsid w:val="0043042B"/>
    <w:rsid w:val="004371F7"/>
    <w:rsid w:val="00445DF9"/>
    <w:rsid w:val="004505B0"/>
    <w:rsid w:val="00463CA4"/>
    <w:rsid w:val="004804AC"/>
    <w:rsid w:val="00480C31"/>
    <w:rsid w:val="0049447C"/>
    <w:rsid w:val="004D68D5"/>
    <w:rsid w:val="004E7E04"/>
    <w:rsid w:val="004F5C63"/>
    <w:rsid w:val="00551AB1"/>
    <w:rsid w:val="00552638"/>
    <w:rsid w:val="00565563"/>
    <w:rsid w:val="00565E8A"/>
    <w:rsid w:val="00570E21"/>
    <w:rsid w:val="00596B9D"/>
    <w:rsid w:val="005A6CA6"/>
    <w:rsid w:val="005D4E71"/>
    <w:rsid w:val="005F1FFA"/>
    <w:rsid w:val="00636128"/>
    <w:rsid w:val="0066037B"/>
    <w:rsid w:val="00664120"/>
    <w:rsid w:val="0066519D"/>
    <w:rsid w:val="006A174B"/>
    <w:rsid w:val="006C747A"/>
    <w:rsid w:val="006F3834"/>
    <w:rsid w:val="00717163"/>
    <w:rsid w:val="00732E7D"/>
    <w:rsid w:val="00776A4C"/>
    <w:rsid w:val="007771EB"/>
    <w:rsid w:val="00782D38"/>
    <w:rsid w:val="007A3D52"/>
    <w:rsid w:val="007C4ED7"/>
    <w:rsid w:val="007F6D93"/>
    <w:rsid w:val="00804C30"/>
    <w:rsid w:val="008718F4"/>
    <w:rsid w:val="008A4E4A"/>
    <w:rsid w:val="008C16E8"/>
    <w:rsid w:val="00916FFA"/>
    <w:rsid w:val="00924E3B"/>
    <w:rsid w:val="00995329"/>
    <w:rsid w:val="009A7441"/>
    <w:rsid w:val="009A7D26"/>
    <w:rsid w:val="009C0110"/>
    <w:rsid w:val="009F10A8"/>
    <w:rsid w:val="00A20F2E"/>
    <w:rsid w:val="00A37CA8"/>
    <w:rsid w:val="00A56835"/>
    <w:rsid w:val="00A64DC3"/>
    <w:rsid w:val="00A75BB3"/>
    <w:rsid w:val="00A96B72"/>
    <w:rsid w:val="00AB40EE"/>
    <w:rsid w:val="00AC605C"/>
    <w:rsid w:val="00AD6775"/>
    <w:rsid w:val="00AE116F"/>
    <w:rsid w:val="00B24B8C"/>
    <w:rsid w:val="00B264F9"/>
    <w:rsid w:val="00B50D56"/>
    <w:rsid w:val="00B513DA"/>
    <w:rsid w:val="00B57515"/>
    <w:rsid w:val="00B75CEE"/>
    <w:rsid w:val="00BA3B43"/>
    <w:rsid w:val="00BA5EF3"/>
    <w:rsid w:val="00BD194B"/>
    <w:rsid w:val="00C11397"/>
    <w:rsid w:val="00C156F7"/>
    <w:rsid w:val="00C51744"/>
    <w:rsid w:val="00C51869"/>
    <w:rsid w:val="00C5684F"/>
    <w:rsid w:val="00C61BA6"/>
    <w:rsid w:val="00C6745F"/>
    <w:rsid w:val="00C7626F"/>
    <w:rsid w:val="00CC1705"/>
    <w:rsid w:val="00CC23A8"/>
    <w:rsid w:val="00D01B3E"/>
    <w:rsid w:val="00D0224C"/>
    <w:rsid w:val="00D0607C"/>
    <w:rsid w:val="00D208CE"/>
    <w:rsid w:val="00D548AC"/>
    <w:rsid w:val="00D62C50"/>
    <w:rsid w:val="00D83B45"/>
    <w:rsid w:val="00D90C8D"/>
    <w:rsid w:val="00D91B75"/>
    <w:rsid w:val="00DD3619"/>
    <w:rsid w:val="00DD693C"/>
    <w:rsid w:val="00E50803"/>
    <w:rsid w:val="00E90F11"/>
    <w:rsid w:val="00ED5C40"/>
    <w:rsid w:val="00F313F1"/>
    <w:rsid w:val="00F34EF7"/>
    <w:rsid w:val="00F44507"/>
    <w:rsid w:val="00F70CB4"/>
    <w:rsid w:val="00F729E6"/>
    <w:rsid w:val="00F73F26"/>
    <w:rsid w:val="00FB7734"/>
    <w:rsid w:val="00FD48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3D07E"/>
  <w15:chartTrackingRefBased/>
  <w15:docId w15:val="{3AF89401-E2BB-430C-A372-C963CDF9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042B"/>
    <w:pPr>
      <w:tabs>
        <w:tab w:val="center" w:pos="4153"/>
        <w:tab w:val="right" w:pos="8306"/>
      </w:tabs>
      <w:snapToGrid w:val="0"/>
    </w:pPr>
    <w:rPr>
      <w:sz w:val="20"/>
      <w:szCs w:val="20"/>
    </w:rPr>
  </w:style>
  <w:style w:type="character" w:customStyle="1" w:styleId="a4">
    <w:name w:val="頁首 字元"/>
    <w:link w:val="a3"/>
    <w:uiPriority w:val="99"/>
    <w:rsid w:val="0043042B"/>
    <w:rPr>
      <w:sz w:val="20"/>
      <w:szCs w:val="20"/>
    </w:rPr>
  </w:style>
  <w:style w:type="paragraph" w:styleId="a5">
    <w:name w:val="footer"/>
    <w:basedOn w:val="a"/>
    <w:link w:val="a6"/>
    <w:uiPriority w:val="99"/>
    <w:unhideWhenUsed/>
    <w:rsid w:val="0043042B"/>
    <w:pPr>
      <w:tabs>
        <w:tab w:val="center" w:pos="4153"/>
        <w:tab w:val="right" w:pos="8306"/>
      </w:tabs>
      <w:snapToGrid w:val="0"/>
    </w:pPr>
    <w:rPr>
      <w:sz w:val="20"/>
      <w:szCs w:val="20"/>
    </w:rPr>
  </w:style>
  <w:style w:type="character" w:customStyle="1" w:styleId="a6">
    <w:name w:val="頁尾 字元"/>
    <w:link w:val="a5"/>
    <w:uiPriority w:val="99"/>
    <w:rsid w:val="0043042B"/>
    <w:rPr>
      <w:sz w:val="20"/>
      <w:szCs w:val="20"/>
    </w:rPr>
  </w:style>
  <w:style w:type="paragraph" w:styleId="a7">
    <w:name w:val="List Paragraph"/>
    <w:basedOn w:val="a"/>
    <w:uiPriority w:val="34"/>
    <w:qFormat/>
    <w:rsid w:val="0043042B"/>
    <w:pPr>
      <w:ind w:leftChars="200" w:left="480"/>
    </w:pPr>
  </w:style>
  <w:style w:type="paragraph" w:customStyle="1" w:styleId="Default">
    <w:name w:val="Default"/>
    <w:rsid w:val="00565E8A"/>
    <w:pPr>
      <w:widowControl w:val="0"/>
      <w:autoSpaceDE w:val="0"/>
      <w:autoSpaceDN w:val="0"/>
      <w:adjustRightInd w:val="0"/>
    </w:pPr>
    <w:rPr>
      <w:rFonts w:ascii="標楷體" w:eastAsia="標楷體" w:cs="標楷體"/>
      <w:color w:val="000000"/>
      <w:sz w:val="24"/>
      <w:szCs w:val="24"/>
    </w:rPr>
  </w:style>
  <w:style w:type="paragraph" w:styleId="Web">
    <w:name w:val="Normal (Web)"/>
    <w:basedOn w:val="a"/>
    <w:uiPriority w:val="99"/>
    <w:unhideWhenUsed/>
    <w:rsid w:val="00FD4812"/>
    <w:pPr>
      <w:widowControl/>
      <w:spacing w:before="100" w:beforeAutospacing="1" w:after="100" w:afterAutospacing="1"/>
    </w:pPr>
    <w:rPr>
      <w:rFonts w:ascii="新細明體" w:hAnsi="新細明體" w:cs="新細明體"/>
      <w:kern w:val="0"/>
      <w:szCs w:val="24"/>
    </w:rPr>
  </w:style>
  <w:style w:type="table" w:styleId="a8">
    <w:name w:val="Table Grid"/>
    <w:basedOn w:val="a1"/>
    <w:uiPriority w:val="39"/>
    <w:rsid w:val="00565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66</Words>
  <Characters>381</Characters>
  <Application>Microsoft Office Word</Application>
  <DocSecurity>0</DocSecurity>
  <Lines>3</Lines>
  <Paragraphs>1</Paragraphs>
  <ScaleCrop>false</ScaleCrop>
  <Company>Microsoft</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Yu-Shan Wang</cp:lastModifiedBy>
  <cp:revision>7</cp:revision>
  <cp:lastPrinted>2017-10-13T03:16:00Z</cp:lastPrinted>
  <dcterms:created xsi:type="dcterms:W3CDTF">2018-11-08T10:27:00Z</dcterms:created>
  <dcterms:modified xsi:type="dcterms:W3CDTF">2018-11-08T10:29:00Z</dcterms:modified>
</cp:coreProperties>
</file>