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2" w:rsidRPr="00056FA6" w:rsidRDefault="00436EB2" w:rsidP="0043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9" w:left="283" w:hangingChars="44" w:hanging="141"/>
        <w:rPr>
          <w:rFonts w:ascii="標楷體" w:eastAsia="標楷體" w:hAnsi="標楷體"/>
          <w:b/>
          <w:sz w:val="32"/>
          <w:szCs w:val="32"/>
        </w:rPr>
      </w:pPr>
      <w:r w:rsidRPr="00056FA6">
        <w:rPr>
          <w:rFonts w:ascii="標楷體" w:eastAsia="標楷體" w:hAnsi="標楷體" w:hint="eastAsia"/>
          <w:b/>
          <w:sz w:val="32"/>
          <w:szCs w:val="32"/>
        </w:rPr>
        <w:t>高雄醫學大學內部控制委員會設置要點</w:t>
      </w:r>
    </w:p>
    <w:p w:rsidR="00436EB2" w:rsidRPr="00436137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436137">
        <w:rPr>
          <w:rFonts w:ascii="標楷體" w:eastAsia="標楷體" w:hAnsi="標楷體" w:hint="eastAsia"/>
          <w:sz w:val="20"/>
        </w:rPr>
        <w:t xml:space="preserve">102.11.08 102學年度第3次行政會議通過 </w:t>
      </w:r>
    </w:p>
    <w:p w:rsidR="00436EB2" w:rsidRPr="00DD3370" w:rsidRDefault="006D43FD" w:rsidP="00436EB2">
      <w:pPr>
        <w:ind w:firstLineChars="1653" w:firstLine="3967"/>
        <w:jc w:val="both"/>
        <w:rPr>
          <w:rFonts w:ascii="標楷體" w:eastAsia="標楷體" w:hAnsi="標楷體"/>
          <w:sz w:val="20"/>
        </w:rPr>
      </w:pPr>
      <w:hyperlink r:id="rId9" w:tooltip="1021103613.doc" w:history="1">
        <w:r w:rsidR="00436EB2" w:rsidRPr="00DD3370">
          <w:rPr>
            <w:rFonts w:ascii="標楷體" w:eastAsia="標楷體" w:hAnsi="標楷體" w:hint="eastAsia"/>
            <w:sz w:val="20"/>
          </w:rPr>
          <w:t>102.11.20高</w:t>
        </w:r>
        <w:proofErr w:type="gramStart"/>
        <w:r w:rsidR="00436EB2" w:rsidRPr="00DD3370">
          <w:rPr>
            <w:rFonts w:ascii="標楷體" w:eastAsia="標楷體" w:hAnsi="標楷體" w:hint="eastAsia"/>
            <w:sz w:val="20"/>
          </w:rPr>
          <w:t>醫</w:t>
        </w:r>
        <w:proofErr w:type="gramEnd"/>
        <w:r w:rsidR="00436EB2" w:rsidRPr="00DD3370">
          <w:rPr>
            <w:rFonts w:ascii="標楷體" w:eastAsia="標楷體" w:hAnsi="標楷體" w:hint="eastAsia"/>
            <w:sz w:val="20"/>
          </w:rPr>
          <w:t>稽核字第1021103613號函公布</w:t>
        </w:r>
      </w:hyperlink>
    </w:p>
    <w:p w:rsidR="00436EB2" w:rsidRDefault="00436EB2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8314F8" w:rsidRPr="00DD3370" w:rsidRDefault="008314F8" w:rsidP="00436EB2">
      <w:pPr>
        <w:ind w:leftChars="95" w:left="228" w:firstLineChars="1869" w:firstLine="373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104.11.30</w:t>
      </w:r>
      <w:r w:rsidRPr="008314F8">
        <w:rPr>
          <w:rFonts w:ascii="標楷體" w:eastAsia="標楷體" w:hAnsi="標楷體" w:hint="eastAsia"/>
          <w:sz w:val="20"/>
        </w:rPr>
        <w:t>高</w:t>
      </w:r>
      <w:proofErr w:type="gramStart"/>
      <w:r w:rsidRPr="008314F8">
        <w:rPr>
          <w:rFonts w:ascii="標楷體" w:eastAsia="標楷體" w:hAnsi="標楷體" w:hint="eastAsia"/>
          <w:sz w:val="20"/>
        </w:rPr>
        <w:t>醫</w:t>
      </w:r>
      <w:proofErr w:type="gramEnd"/>
      <w:r w:rsidRPr="008314F8">
        <w:rPr>
          <w:rFonts w:ascii="標楷體" w:eastAsia="標楷體" w:hAnsi="標楷體" w:hint="eastAsia"/>
          <w:sz w:val="20"/>
        </w:rPr>
        <w:t>稽核字第1041103768號</w:t>
      </w:r>
    </w:p>
    <w:p w:rsidR="00436EB2" w:rsidRPr="00DD3370" w:rsidRDefault="00436EB2" w:rsidP="00436EB2">
      <w:pPr>
        <w:ind w:leftChars="59" w:left="230" w:hangingChars="44" w:hanging="88"/>
        <w:rPr>
          <w:rFonts w:ascii="標楷體" w:eastAsia="標楷體" w:hAnsi="標楷體"/>
          <w:color w:val="000000" w:themeColor="text1"/>
          <w:sz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8931"/>
      </w:tblGrid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F5023A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4531" w:type="pct"/>
          </w:tcPr>
          <w:p w:rsidR="00436EB2" w:rsidRDefault="00436EB2" w:rsidP="0051558E">
            <w:pPr>
              <w:ind w:leftChars="85" w:left="245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二、</w:t>
            </w:r>
          </w:p>
        </w:tc>
        <w:tc>
          <w:tcPr>
            <w:tcW w:w="4531" w:type="pct"/>
          </w:tcPr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本委員會任務如下：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5E044D">
              <w:rPr>
                <w:rFonts w:ascii="標楷體" w:eastAsia="標楷體" w:hAnsi="標楷體" w:cs="細明體" w:hint="eastAsia"/>
              </w:rPr>
              <w:t>提供內部控制制度重要政策規劃之建議。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提供內部控制制度發展策略之建議。</w:t>
            </w:r>
          </w:p>
          <w:p w:rsidR="00436EB2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提供內部控制制度風險評估設計原則之意見諮詢。</w:t>
            </w:r>
          </w:p>
          <w:p w:rsidR="00436EB2" w:rsidRPr="005E044D" w:rsidRDefault="00436EB2" w:rsidP="00436EB2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7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before="100" w:beforeAutospacing="1" w:after="100" w:afterAutospacing="1" w:line="60" w:lineRule="auto"/>
              <w:ind w:leftChars="85" w:left="245" w:rightChars="-104" w:right="-250" w:hangingChars="17" w:hanging="41"/>
              <w:textAlignment w:val="auto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審議或備查其他內部控制制度重要事項。</w:t>
            </w:r>
          </w:p>
          <w:p w:rsidR="00436EB2" w:rsidRPr="00F5023A" w:rsidRDefault="00436EB2" w:rsidP="0043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60" w:lineRule="auto"/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三、</w:t>
            </w:r>
          </w:p>
        </w:tc>
        <w:tc>
          <w:tcPr>
            <w:tcW w:w="4531" w:type="pct"/>
          </w:tcPr>
          <w:p w:rsidR="00436EB2" w:rsidRPr="00436137" w:rsidRDefault="00436EB2" w:rsidP="00515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rightChars="58" w:right="139" w:hangingChars="17" w:hanging="41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</w:rPr>
              <w:t>另置委員若干人，</w:t>
            </w:r>
            <w:r w:rsidRPr="00436137">
              <w:rPr>
                <w:rFonts w:ascii="標楷體" w:eastAsia="標楷體" w:hAnsi="標楷體" w:cs="細明體" w:hint="eastAsia"/>
                <w:u w:val="single"/>
              </w:rPr>
              <w:t>由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副校長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Pr="00436137">
              <w:rPr>
                <w:rFonts w:ascii="標楷體" w:eastAsia="標楷體" w:hAnsi="標楷體" w:cs="細明體" w:hint="eastAsia"/>
              </w:rPr>
              <w:t>一級行政單位主管、各學院院長及</w:t>
            </w:r>
            <w:r w:rsidRPr="00F5023A">
              <w:rPr>
                <w:rFonts w:ascii="標楷體" w:eastAsia="標楷體" w:hAnsi="標楷體" w:cs="細明體" w:hint="eastAsia"/>
                <w:u w:val="single"/>
              </w:rPr>
              <w:t>通識教育</w:t>
            </w:r>
            <w:proofErr w:type="gramStart"/>
            <w:r w:rsidRPr="00F5023A">
              <w:rPr>
                <w:rFonts w:ascii="標楷體" w:eastAsia="標楷體" w:hAnsi="標楷體" w:cs="細明體" w:hint="eastAsia"/>
                <w:u w:val="single"/>
              </w:rPr>
              <w:t>中心中心主任</w:t>
            </w:r>
            <w:r w:rsidRPr="00436137">
              <w:rPr>
                <w:rFonts w:ascii="標楷體" w:eastAsia="標楷體" w:hAnsi="標楷體" w:cs="細明體" w:hint="eastAsia"/>
              </w:rPr>
              <w:t>等聘兼</w:t>
            </w:r>
            <w:proofErr w:type="gramEnd"/>
            <w:r w:rsidRPr="00436137">
              <w:rPr>
                <w:rFonts w:ascii="標楷體" w:eastAsia="標楷體" w:hAnsi="標楷體" w:cs="細明體" w:hint="eastAsia"/>
              </w:rPr>
              <w:t>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本委員會置總幹事一人，由稽核室主任兼任，得置幹事一人協助。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四、</w:t>
            </w:r>
          </w:p>
        </w:tc>
        <w:tc>
          <w:tcPr>
            <w:tcW w:w="4531" w:type="pct"/>
          </w:tcPr>
          <w:p w:rsidR="00436EB2" w:rsidRPr="00436137" w:rsidRDefault="00436EB2" w:rsidP="00515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本委員會每學期至少召開會議一次，必要時得召開臨時會議。委員應親自出席會議，不克出席會議時，得指派代表出席。</w:t>
            </w:r>
          </w:p>
          <w:p w:rsidR="00436EB2" w:rsidRDefault="00436EB2" w:rsidP="0051558E">
            <w:pPr>
              <w:ind w:leftChars="85" w:left="245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本委員會會議應有全體委員二分之一以上出席始得開會，並經出席委員二分之一以上通過始得決議。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五、</w:t>
            </w:r>
          </w:p>
        </w:tc>
        <w:tc>
          <w:tcPr>
            <w:tcW w:w="4531" w:type="pct"/>
          </w:tcPr>
          <w:p w:rsidR="00436EB2" w:rsidRPr="00436137" w:rsidRDefault="00436EB2" w:rsidP="00515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85" w:left="245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本委員會召開會議時，稽核室應提報各單位內部控制及內部稽核作業落實執行情形。</w:t>
            </w:r>
          </w:p>
          <w:p w:rsidR="00436EB2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本委員會得視議題需要，邀請相關領域學者專家或校內相關單位人員列席。</w:t>
            </w:r>
          </w:p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</w:p>
        </w:tc>
      </w:tr>
      <w:tr w:rsidR="00436EB2" w:rsidRPr="00F5023A" w:rsidTr="0051558E">
        <w:tc>
          <w:tcPr>
            <w:tcW w:w="469" w:type="pct"/>
          </w:tcPr>
          <w:p w:rsidR="00436EB2" w:rsidRPr="00F5023A" w:rsidRDefault="00436EB2" w:rsidP="00436EB2">
            <w:pPr>
              <w:ind w:leftChars="59" w:left="248" w:hangingChars="44" w:hanging="106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六、</w:t>
            </w:r>
          </w:p>
        </w:tc>
        <w:tc>
          <w:tcPr>
            <w:tcW w:w="4531" w:type="pct"/>
          </w:tcPr>
          <w:p w:rsidR="00436EB2" w:rsidRPr="00F5023A" w:rsidRDefault="00436EB2" w:rsidP="00436EB2">
            <w:pPr>
              <w:ind w:leftChars="85" w:left="245" w:rightChars="-104" w:right="-250" w:hangingChars="17" w:hanging="41"/>
              <w:rPr>
                <w:rFonts w:ascii="標楷體" w:eastAsia="標楷體" w:hAnsi="標楷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本要點經行政會議審議通過，陳請校長核定後，自公布日起實施，修正時亦同。</w:t>
            </w:r>
          </w:p>
        </w:tc>
      </w:tr>
    </w:tbl>
    <w:p w:rsidR="007566AD" w:rsidRPr="00436EB2" w:rsidRDefault="007566AD" w:rsidP="00603213">
      <w:pPr>
        <w:snapToGrid w:val="0"/>
        <w:spacing w:line="240" w:lineRule="atLeast"/>
        <w:ind w:leftChars="177" w:left="425"/>
        <w:rPr>
          <w:rFonts w:ascii="標楷體" w:eastAsia="標楷體" w:hAnsi="標楷體"/>
          <w:b/>
          <w:sz w:val="32"/>
          <w:szCs w:val="32"/>
        </w:rPr>
        <w:sectPr w:rsidR="007566AD" w:rsidRPr="00436EB2" w:rsidSect="00603213">
          <w:pgSz w:w="11906" w:h="16838"/>
          <w:pgMar w:top="1134" w:right="1416" w:bottom="1134" w:left="851" w:header="851" w:footer="992" w:gutter="0"/>
          <w:cols w:space="425"/>
          <w:docGrid w:type="lines" w:linePitch="360"/>
        </w:sectPr>
      </w:pPr>
    </w:p>
    <w:p w:rsidR="00A279E7" w:rsidRPr="000A437B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sz w:val="32"/>
          <w:szCs w:val="32"/>
        </w:rPr>
      </w:pPr>
      <w:r w:rsidRPr="000A437B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高雄醫學大學內部控制委員會設置要點(修正條文對照表)</w:t>
      </w:r>
    </w:p>
    <w:p w:rsidR="00A279E7" w:rsidRPr="00436137" w:rsidRDefault="00A279E7" w:rsidP="00A279E7">
      <w:pPr>
        <w:widowControl/>
        <w:ind w:left="720" w:firstLineChars="3396" w:firstLine="6792"/>
        <w:rPr>
          <w:rFonts w:ascii="標楷體" w:eastAsia="標楷體" w:hAnsi="標楷體" w:cs="新細明體"/>
          <w:sz w:val="20"/>
        </w:rPr>
      </w:pPr>
      <w:r w:rsidRPr="00436137">
        <w:rPr>
          <w:rFonts w:ascii="標楷體" w:eastAsia="標楷體" w:hAnsi="標楷體" w:cs="新細明體" w:hint="eastAsia"/>
          <w:sz w:val="20"/>
        </w:rPr>
        <w:t xml:space="preserve">102.11.08 102學年度第3次行政會議通過 </w:t>
      </w:r>
    </w:p>
    <w:p w:rsidR="00A279E7" w:rsidRDefault="006D43FD" w:rsidP="00A279E7">
      <w:pPr>
        <w:widowControl/>
        <w:ind w:firstLineChars="3130" w:firstLine="7512"/>
        <w:rPr>
          <w:rFonts w:ascii="標楷體" w:eastAsia="標楷體" w:hAnsi="標楷體" w:cs="新細明體"/>
          <w:color w:val="000000" w:themeColor="text1"/>
          <w:sz w:val="20"/>
        </w:rPr>
      </w:pPr>
      <w:hyperlink r:id="rId10" w:tooltip="1021103613.doc" w:history="1"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102.11.20高</w:t>
        </w:r>
        <w:proofErr w:type="gramStart"/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醫</w:t>
        </w:r>
        <w:proofErr w:type="gramEnd"/>
        <w:r w:rsidR="00A279E7"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稽核字第1021103613號函公布</w:t>
        </w:r>
      </w:hyperlink>
      <w:r w:rsidR="00A279E7" w:rsidRPr="00FA0A63">
        <w:rPr>
          <w:rFonts w:ascii="標楷體" w:eastAsia="標楷體" w:hAnsi="標楷體" w:cs="新細明體" w:hint="eastAsia"/>
          <w:color w:val="000000" w:themeColor="text1"/>
          <w:sz w:val="20"/>
        </w:rPr>
        <w:t xml:space="preserve"> </w:t>
      </w:r>
    </w:p>
    <w:p w:rsidR="00436EB2" w:rsidRDefault="00436EB2" w:rsidP="00436EB2">
      <w:pPr>
        <w:ind w:left="720" w:firstLineChars="3396" w:firstLine="6792"/>
        <w:rPr>
          <w:rFonts w:ascii="標楷體" w:eastAsia="標楷體" w:hAnsi="標楷體" w:hint="eastAsia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0A437B" w:rsidRPr="00DD3370" w:rsidRDefault="000A437B" w:rsidP="000A437B">
      <w:pPr>
        <w:ind w:left="720" w:firstLineChars="3396" w:firstLine="6792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104.11.30</w:t>
      </w:r>
      <w:r w:rsidRPr="008314F8">
        <w:rPr>
          <w:rFonts w:ascii="標楷體" w:eastAsia="標楷體" w:hAnsi="標楷體" w:hint="eastAsia"/>
          <w:sz w:val="20"/>
        </w:rPr>
        <w:t>高</w:t>
      </w:r>
      <w:proofErr w:type="gramStart"/>
      <w:r w:rsidRPr="008314F8">
        <w:rPr>
          <w:rFonts w:ascii="標楷體" w:eastAsia="標楷體" w:hAnsi="標楷體" w:hint="eastAsia"/>
          <w:sz w:val="20"/>
        </w:rPr>
        <w:t>醫</w:t>
      </w:r>
      <w:proofErr w:type="gramEnd"/>
      <w:r w:rsidRPr="008314F8">
        <w:rPr>
          <w:rFonts w:ascii="標楷體" w:eastAsia="標楷體" w:hAnsi="標楷體" w:hint="eastAsia"/>
          <w:sz w:val="20"/>
        </w:rPr>
        <w:t>稽核字第1041103768號</w:t>
      </w:r>
    </w:p>
    <w:p w:rsidR="005353D0" w:rsidRPr="00436EB2" w:rsidRDefault="005353D0" w:rsidP="00A279E7">
      <w:pPr>
        <w:widowControl/>
        <w:ind w:firstLineChars="3130" w:firstLine="6260"/>
        <w:rPr>
          <w:rFonts w:ascii="標楷體" w:eastAsia="標楷體" w:hAnsi="標楷體" w:cs="新細明體"/>
          <w:color w:val="000000" w:themeColor="text1"/>
          <w:sz w:val="20"/>
        </w:rPr>
      </w:pPr>
      <w:bookmarkStart w:id="0" w:name="_GoBack"/>
      <w:bookmarkEnd w:id="0"/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851"/>
        <w:gridCol w:w="4961"/>
        <w:gridCol w:w="4961"/>
        <w:gridCol w:w="2835"/>
      </w:tblGrid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5023A">
              <w:rPr>
                <w:rFonts w:ascii="標楷體" w:eastAsia="標楷體" w:hAnsi="標楷體" w:cs="新細明體" w:hint="eastAsia"/>
                <w:szCs w:val="24"/>
              </w:rPr>
              <w:t>條序</w:t>
            </w:r>
            <w:proofErr w:type="gramEnd"/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修正後條文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現行條文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一、</w:t>
            </w:r>
          </w:p>
        </w:tc>
        <w:tc>
          <w:tcPr>
            <w:tcW w:w="4961" w:type="dxa"/>
          </w:tcPr>
          <w:p w:rsidR="00A279E7" w:rsidRPr="005353D0" w:rsidRDefault="005353D0" w:rsidP="005353D0">
            <w:pPr>
              <w:ind w:leftChars="-26" w:hangingChars="26" w:hanging="62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為健全本校各單位內部控制，提升整體效能與達到興利及防弊功能，依據本校組織規程</w:t>
            </w:r>
            <w:r w:rsidRPr="00DD3370">
              <w:rPr>
                <w:rFonts w:ascii="標楷體" w:eastAsia="標楷體" w:hAnsi="標楷體" w:cs="細明體" w:hint="eastAsia"/>
                <w:u w:val="single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為健全本校各單位內部控制，提升整體效能與達到興利及防弊功能，依據本校組織規程第21條第1項第8款規定設置內部控制委員會（以下簡稱本委員會）。</w:t>
            </w:r>
          </w:p>
        </w:tc>
        <w:tc>
          <w:tcPr>
            <w:tcW w:w="2835" w:type="dxa"/>
          </w:tcPr>
          <w:p w:rsidR="00A279E7" w:rsidRPr="00F5023A" w:rsidRDefault="005353D0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修正依據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二、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本委員會任務如下：</w:t>
            </w:r>
          </w:p>
          <w:p w:rsidR="00A279E7" w:rsidRPr="00436137" w:rsidRDefault="00A279E7" w:rsidP="00A5014C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)提供內部控制制度重要政策規劃之建議。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(二)提供內部控制制度發展策略之建議。</w:t>
            </w:r>
          </w:p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(三)提供內部控制制度風險評估設計原則之意見諮詢。</w:t>
            </w:r>
          </w:p>
          <w:p w:rsidR="00A279E7" w:rsidRPr="00F5023A" w:rsidRDefault="00A279E7" w:rsidP="00A5014C">
            <w:pPr>
              <w:widowControl/>
              <w:ind w:left="458" w:hangingChars="191" w:hanging="458"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(四)審議或備查其他內部控制制度重要事項。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三、</w:t>
            </w:r>
          </w:p>
        </w:tc>
        <w:tc>
          <w:tcPr>
            <w:tcW w:w="4961" w:type="dxa"/>
          </w:tcPr>
          <w:p w:rsidR="00A279E7" w:rsidRPr="00436137" w:rsidRDefault="00436EB2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本委員會由校長擔任主任委員（兼召集人）；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另置委員若干人，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由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副校長</w:t>
            </w:r>
            <w:r w:rsidR="00A279E7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一級行政單位主管、各學院院長及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通識教育</w:t>
            </w:r>
            <w:proofErr w:type="gramStart"/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r w:rsidR="00A279E7"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任</w:t>
            </w:r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等聘兼</w:t>
            </w:r>
            <w:proofErr w:type="gramEnd"/>
            <w:r w:rsidR="00A279E7" w:rsidRPr="00436137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本委員會置總幹事一人，由稽核室主任兼任，得置幹事一人協助。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副主任委員一人，由副校長（一人）兼任；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另置委員若干人，由一級行政單位主管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、整合型中心主任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及各學院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院長等聘兼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本委員會置總幹事一人，由稽核室主任兼任，得置幹事一人協助。</w:t>
            </w:r>
          </w:p>
        </w:tc>
        <w:tc>
          <w:tcPr>
            <w:tcW w:w="2835" w:type="dxa"/>
          </w:tcPr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因實際需要</w:t>
            </w:r>
            <w:proofErr w:type="gramStart"/>
            <w:r w:rsidRPr="00F5023A">
              <w:rPr>
                <w:rFonts w:ascii="標楷體" w:eastAsia="標楷體" w:hAnsi="標楷體" w:cs="新細明體" w:hint="eastAsia"/>
                <w:szCs w:val="24"/>
              </w:rPr>
              <w:t>副校長均為</w:t>
            </w:r>
            <w:r>
              <w:rPr>
                <w:rFonts w:ascii="標楷體" w:eastAsia="標楷體" w:hAnsi="標楷體" w:cs="新細明體" w:hint="eastAsia"/>
                <w:szCs w:val="24"/>
              </w:rPr>
              <w:t>本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委員會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委員並刪除副主任委員規定。</w:t>
            </w:r>
          </w:p>
          <w:p w:rsidR="00A279E7" w:rsidRPr="00F5023A" w:rsidRDefault="00A279E7" w:rsidP="00A279E7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配合組織調整刪除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整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合型中心主任</w:t>
            </w:r>
            <w:r>
              <w:rPr>
                <w:rFonts w:ascii="標楷體" w:eastAsia="標楷體" w:hAnsi="標楷體" w:cs="細明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增列</w:t>
            </w:r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識教育中心</w:t>
            </w:r>
            <w:r w:rsidR="00436EB2">
              <w:rPr>
                <w:rFonts w:ascii="標楷體" w:eastAsia="標楷體" w:hAnsi="標楷體" w:cs="細明體" w:hint="eastAsia"/>
                <w:szCs w:val="24"/>
                <w:u w:val="single"/>
              </w:rPr>
              <w:t>中心</w:t>
            </w:r>
            <w:proofErr w:type="gramEnd"/>
            <w:r w:rsidRPr="00F5023A">
              <w:rPr>
                <w:rFonts w:ascii="標楷體" w:eastAsia="標楷體" w:hAnsi="標楷體" w:cs="細明體" w:hint="eastAsia"/>
                <w:szCs w:val="24"/>
                <w:u w:val="single"/>
              </w:rPr>
              <w:t>主任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為委員。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四、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</w:t>
            </w:r>
            <w:r w:rsidRPr="00436137">
              <w:rPr>
                <w:rFonts w:ascii="標楷體" w:eastAsia="標楷體" w:hAnsi="標楷體" w:cs="細明體" w:hint="eastAsia"/>
                <w:szCs w:val="24"/>
                <w:u w:val="single"/>
              </w:rPr>
              <w:t>召集人因故不能出席時，由副主任委員代理；</w:t>
            </w:r>
            <w:r w:rsidRPr="00436137">
              <w:rPr>
                <w:rFonts w:ascii="標楷體" w:eastAsia="標楷體" w:hAnsi="標楷體" w:cs="細明體" w:hint="eastAsia"/>
                <w:szCs w:val="24"/>
              </w:rPr>
              <w:t>委員應親自出席會議，不克出席會議時，得指派代表出席。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配合前條修正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刪除副主任委員</w:t>
            </w:r>
            <w:r>
              <w:rPr>
                <w:rFonts w:ascii="標楷體" w:eastAsia="標楷體" w:hAnsi="標楷體" w:cs="新細明體" w:hint="eastAsia"/>
                <w:szCs w:val="24"/>
              </w:rPr>
              <w:t>代理規定。</w:t>
            </w: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五、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436137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本委員會召開會議時，稽核室應提報各單位內部控制及內部稽核作業落實執行情形。</w:t>
            </w:r>
          </w:p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本委員會得視議題需要，邀請相關領域學者專家或校內相關單位人員列席。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279E7" w:rsidRPr="00F5023A" w:rsidTr="00A279E7">
        <w:tc>
          <w:tcPr>
            <w:tcW w:w="85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六、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同現行條文</w:t>
            </w:r>
          </w:p>
        </w:tc>
        <w:tc>
          <w:tcPr>
            <w:tcW w:w="4961" w:type="dxa"/>
          </w:tcPr>
          <w:p w:rsidR="00A279E7" w:rsidRPr="00F5023A" w:rsidRDefault="00A279E7" w:rsidP="00A501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本要點經行政會議審議通過，陳請校長核定後，自公布日起實施，修正時亦同。</w:t>
            </w:r>
          </w:p>
        </w:tc>
        <w:tc>
          <w:tcPr>
            <w:tcW w:w="2835" w:type="dxa"/>
          </w:tcPr>
          <w:p w:rsidR="00A279E7" w:rsidRPr="00F5023A" w:rsidRDefault="00A279E7" w:rsidP="00A5014C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279E7" w:rsidRPr="00436137" w:rsidRDefault="00A279E7" w:rsidP="00A279E7">
      <w:pPr>
        <w:widowControl/>
        <w:ind w:left="720" w:firstLineChars="1766" w:firstLine="4238"/>
        <w:rPr>
          <w:rFonts w:ascii="標楷體" w:eastAsia="標楷體" w:hAnsi="標楷體" w:cs="新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</w:t>
      </w:r>
    </w:p>
    <w:p w:rsidR="00A279E7" w:rsidRPr="00F5023A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p w:rsidR="00A279E7" w:rsidRPr="00436137" w:rsidRDefault="00A279E7" w:rsidP="00A279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  <w:r w:rsidRPr="00436137">
        <w:rPr>
          <w:rFonts w:ascii="標楷體" w:eastAsia="標楷體" w:hAnsi="標楷體" w:cs="細明體" w:hint="eastAsia"/>
          <w:szCs w:val="24"/>
        </w:rPr>
        <w:t xml:space="preserve">　　</w:t>
      </w:r>
    </w:p>
    <w:sectPr w:rsidR="00A279E7" w:rsidRPr="00436137" w:rsidSect="00A279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FD" w:rsidRDefault="006D43FD" w:rsidP="00F20A2D">
      <w:pPr>
        <w:spacing w:line="240" w:lineRule="auto"/>
      </w:pPr>
      <w:r>
        <w:separator/>
      </w:r>
    </w:p>
  </w:endnote>
  <w:endnote w:type="continuationSeparator" w:id="0">
    <w:p w:rsidR="006D43FD" w:rsidRDefault="006D43FD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FD" w:rsidRDefault="006D43FD" w:rsidP="00F20A2D">
      <w:pPr>
        <w:spacing w:line="240" w:lineRule="auto"/>
      </w:pPr>
      <w:r>
        <w:separator/>
      </w:r>
    </w:p>
  </w:footnote>
  <w:footnote w:type="continuationSeparator" w:id="0">
    <w:p w:rsidR="006D43FD" w:rsidRDefault="006D43FD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>
    <w:nsid w:val="5AE71439"/>
    <w:multiLevelType w:val="hybridMultilevel"/>
    <w:tmpl w:val="287EF4F6"/>
    <w:lvl w:ilvl="0" w:tplc="EB9417B0">
      <w:start w:val="1"/>
      <w:numFmt w:val="taiwaneseCountingThousand"/>
      <w:lvlText w:val="(%1)"/>
      <w:lvlJc w:val="left"/>
      <w:pPr>
        <w:ind w:left="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1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0F5BF9"/>
    <w:multiLevelType w:val="hybridMultilevel"/>
    <w:tmpl w:val="A3EABFEA"/>
    <w:lvl w:ilvl="0" w:tplc="0A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E40C1"/>
    <w:multiLevelType w:val="hybridMultilevel"/>
    <w:tmpl w:val="AB2EB070"/>
    <w:lvl w:ilvl="0" w:tplc="083ADA98">
      <w:start w:val="1"/>
      <w:numFmt w:val="taiwaneseCountingThousand"/>
      <w:lvlText w:val="%1、"/>
      <w:lvlJc w:val="left"/>
      <w:pPr>
        <w:ind w:left="1994" w:hanging="720"/>
      </w:pPr>
      <w:rPr>
        <w:rFonts w:asciiTheme="minorHAnsi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56FA6"/>
    <w:rsid w:val="000651D4"/>
    <w:rsid w:val="00080516"/>
    <w:rsid w:val="00083082"/>
    <w:rsid w:val="00083646"/>
    <w:rsid w:val="00094AB9"/>
    <w:rsid w:val="000A437B"/>
    <w:rsid w:val="000B0BFE"/>
    <w:rsid w:val="000B5C8D"/>
    <w:rsid w:val="000D075A"/>
    <w:rsid w:val="000E5A20"/>
    <w:rsid w:val="000F5F4F"/>
    <w:rsid w:val="00110599"/>
    <w:rsid w:val="001139BF"/>
    <w:rsid w:val="00114BCA"/>
    <w:rsid w:val="001216D7"/>
    <w:rsid w:val="00135274"/>
    <w:rsid w:val="001578F0"/>
    <w:rsid w:val="00165117"/>
    <w:rsid w:val="00167991"/>
    <w:rsid w:val="00177F41"/>
    <w:rsid w:val="001823B4"/>
    <w:rsid w:val="00197472"/>
    <w:rsid w:val="001A19F0"/>
    <w:rsid w:val="001D3B04"/>
    <w:rsid w:val="001F6E75"/>
    <w:rsid w:val="001F6EEF"/>
    <w:rsid w:val="002341B4"/>
    <w:rsid w:val="00254E86"/>
    <w:rsid w:val="002550C2"/>
    <w:rsid w:val="002979FF"/>
    <w:rsid w:val="002B2015"/>
    <w:rsid w:val="002B4CEF"/>
    <w:rsid w:val="002B7E9B"/>
    <w:rsid w:val="002D1FF8"/>
    <w:rsid w:val="002D75E7"/>
    <w:rsid w:val="002E30E2"/>
    <w:rsid w:val="002F3FD9"/>
    <w:rsid w:val="00311436"/>
    <w:rsid w:val="00311F7E"/>
    <w:rsid w:val="00324A9A"/>
    <w:rsid w:val="00325309"/>
    <w:rsid w:val="00343643"/>
    <w:rsid w:val="00345D19"/>
    <w:rsid w:val="00355BA2"/>
    <w:rsid w:val="00362397"/>
    <w:rsid w:val="00370AED"/>
    <w:rsid w:val="00373E3D"/>
    <w:rsid w:val="003755A9"/>
    <w:rsid w:val="003A2297"/>
    <w:rsid w:val="003A5CF3"/>
    <w:rsid w:val="003D2803"/>
    <w:rsid w:val="003E398B"/>
    <w:rsid w:val="003E4FC7"/>
    <w:rsid w:val="00407A9D"/>
    <w:rsid w:val="004239CA"/>
    <w:rsid w:val="00427704"/>
    <w:rsid w:val="00436EB2"/>
    <w:rsid w:val="0048446D"/>
    <w:rsid w:val="004A0967"/>
    <w:rsid w:val="004A0E93"/>
    <w:rsid w:val="004A16C5"/>
    <w:rsid w:val="004D35C1"/>
    <w:rsid w:val="004E0CD3"/>
    <w:rsid w:val="004F1E47"/>
    <w:rsid w:val="00501E4D"/>
    <w:rsid w:val="0051558E"/>
    <w:rsid w:val="005353D0"/>
    <w:rsid w:val="00553FB0"/>
    <w:rsid w:val="0057116A"/>
    <w:rsid w:val="005A57AD"/>
    <w:rsid w:val="005A7A27"/>
    <w:rsid w:val="005C544F"/>
    <w:rsid w:val="005C78C8"/>
    <w:rsid w:val="005E6F93"/>
    <w:rsid w:val="005E7300"/>
    <w:rsid w:val="005F2887"/>
    <w:rsid w:val="00603213"/>
    <w:rsid w:val="0060325B"/>
    <w:rsid w:val="006101F3"/>
    <w:rsid w:val="00612776"/>
    <w:rsid w:val="00617473"/>
    <w:rsid w:val="00621AA9"/>
    <w:rsid w:val="0063100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82ECA"/>
    <w:rsid w:val="0068341E"/>
    <w:rsid w:val="0069473F"/>
    <w:rsid w:val="00696F4F"/>
    <w:rsid w:val="006C5EEF"/>
    <w:rsid w:val="006C69F5"/>
    <w:rsid w:val="006D04EB"/>
    <w:rsid w:val="006D43FD"/>
    <w:rsid w:val="006F2064"/>
    <w:rsid w:val="0070122D"/>
    <w:rsid w:val="00703B40"/>
    <w:rsid w:val="007102BD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B66E2"/>
    <w:rsid w:val="007C3423"/>
    <w:rsid w:val="007D671E"/>
    <w:rsid w:val="007F29FC"/>
    <w:rsid w:val="007F7DD4"/>
    <w:rsid w:val="008201B4"/>
    <w:rsid w:val="00823D7A"/>
    <w:rsid w:val="008314F8"/>
    <w:rsid w:val="008321A8"/>
    <w:rsid w:val="0084533C"/>
    <w:rsid w:val="00847B82"/>
    <w:rsid w:val="00864F3C"/>
    <w:rsid w:val="008676DE"/>
    <w:rsid w:val="008764F8"/>
    <w:rsid w:val="008A0CD9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51C9C"/>
    <w:rsid w:val="0095381D"/>
    <w:rsid w:val="0096112A"/>
    <w:rsid w:val="009768B9"/>
    <w:rsid w:val="009833F1"/>
    <w:rsid w:val="0099414B"/>
    <w:rsid w:val="009A6047"/>
    <w:rsid w:val="009B0B7E"/>
    <w:rsid w:val="009B0B90"/>
    <w:rsid w:val="009F0AB6"/>
    <w:rsid w:val="009F6662"/>
    <w:rsid w:val="00A11F5A"/>
    <w:rsid w:val="00A279E7"/>
    <w:rsid w:val="00A70E66"/>
    <w:rsid w:val="00A7248C"/>
    <w:rsid w:val="00A812D9"/>
    <w:rsid w:val="00AC1739"/>
    <w:rsid w:val="00AE62F8"/>
    <w:rsid w:val="00B25CCF"/>
    <w:rsid w:val="00B30427"/>
    <w:rsid w:val="00B32723"/>
    <w:rsid w:val="00B340A2"/>
    <w:rsid w:val="00B36299"/>
    <w:rsid w:val="00B46AF2"/>
    <w:rsid w:val="00B5752C"/>
    <w:rsid w:val="00B624BA"/>
    <w:rsid w:val="00B67D1B"/>
    <w:rsid w:val="00B71C5E"/>
    <w:rsid w:val="00B8498E"/>
    <w:rsid w:val="00B84AD3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402C5"/>
    <w:rsid w:val="00C516CA"/>
    <w:rsid w:val="00C67F36"/>
    <w:rsid w:val="00C73D13"/>
    <w:rsid w:val="00C76A01"/>
    <w:rsid w:val="00C856F8"/>
    <w:rsid w:val="00C95D14"/>
    <w:rsid w:val="00CA7031"/>
    <w:rsid w:val="00CC1CA9"/>
    <w:rsid w:val="00CC4EE9"/>
    <w:rsid w:val="00CC6B67"/>
    <w:rsid w:val="00CF284C"/>
    <w:rsid w:val="00CF5EBF"/>
    <w:rsid w:val="00D10708"/>
    <w:rsid w:val="00D356E7"/>
    <w:rsid w:val="00D546D1"/>
    <w:rsid w:val="00D60570"/>
    <w:rsid w:val="00D70F53"/>
    <w:rsid w:val="00D71BFB"/>
    <w:rsid w:val="00D77899"/>
    <w:rsid w:val="00D854D6"/>
    <w:rsid w:val="00DA0566"/>
    <w:rsid w:val="00DA60C9"/>
    <w:rsid w:val="00DB2F7C"/>
    <w:rsid w:val="00DB6661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36A56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D12"/>
    <w:rsid w:val="00EE7E38"/>
    <w:rsid w:val="00EF5DA2"/>
    <w:rsid w:val="00F04C1E"/>
    <w:rsid w:val="00F16E3F"/>
    <w:rsid w:val="00F20A2D"/>
    <w:rsid w:val="00F21FDC"/>
    <w:rsid w:val="00F41752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awdb.kmu.edu.tw/images/9/99/102110361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mages/9/99/102110361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050C-CD41-42E2-AD11-969B90D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cp:lastPrinted>2015-08-10T03:52:00Z</cp:lastPrinted>
  <dcterms:created xsi:type="dcterms:W3CDTF">2016-02-02T00:55:00Z</dcterms:created>
  <dcterms:modified xsi:type="dcterms:W3CDTF">2016-02-02T00:55:00Z</dcterms:modified>
</cp:coreProperties>
</file>