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F5" w:rsidRDefault="007419F5" w:rsidP="002951FA">
      <w:pPr>
        <w:pStyle w:val="a3"/>
        <w:spacing w:beforeLines="50"/>
        <w:rPr>
          <w:rFonts w:ascii="Times New Roman" w:eastAsia="標楷體" w:hAnsi="Times New Roman" w:cs="Times New Roman"/>
          <w:kern w:val="0"/>
          <w:sz w:val="20"/>
        </w:rPr>
      </w:pPr>
      <w:r w:rsidRPr="00BB2E79">
        <w:rPr>
          <w:rFonts w:ascii="Times New Roman" w:eastAsia="標楷體" w:hAnsi="Times New Roman" w:cs="Times New Roman"/>
          <w:b/>
          <w:sz w:val="32"/>
          <w:szCs w:val="32"/>
        </w:rPr>
        <w:t>口腔醫學院口腔衛生學系學生臨床實習分發實施細則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廢止條文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:rsidR="007419F5" w:rsidRPr="00AA71D3" w:rsidRDefault="007419F5" w:rsidP="007419F5">
      <w:pPr>
        <w:pStyle w:val="a3"/>
        <w:adjustRightInd w:val="0"/>
        <w:snapToGrid w:val="0"/>
        <w:ind w:rightChars="-72" w:right="-173" w:firstLineChars="2038" w:firstLine="3261"/>
        <w:jc w:val="both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94.07.04</w:t>
      </w:r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九十三</w:t>
      </w:r>
      <w:proofErr w:type="gramStart"/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學年度口衛</w:t>
      </w:r>
      <w:proofErr w:type="gramEnd"/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系所第八次系所</w:t>
      </w:r>
      <w:proofErr w:type="gramStart"/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務會議暨口衛</w:t>
      </w:r>
      <w:proofErr w:type="gramEnd"/>
      <w:r w:rsidRPr="00AA71D3">
        <w:rPr>
          <w:rFonts w:ascii="Times New Roman" w:eastAsia="標楷體" w:hAnsi="Times New Roman" w:cs="Times New Roman"/>
          <w:kern w:val="0"/>
          <w:sz w:val="16"/>
          <w:szCs w:val="16"/>
        </w:rPr>
        <w:t>系學生實習課程第七次會議通過</w:t>
      </w:r>
    </w:p>
    <w:p w:rsidR="007419F5" w:rsidRPr="00AA71D3" w:rsidRDefault="007419F5" w:rsidP="007419F5">
      <w:pPr>
        <w:pStyle w:val="a3"/>
        <w:adjustRightInd w:val="0"/>
        <w:snapToGrid w:val="0"/>
        <w:ind w:rightChars="-122" w:right="-293" w:firstLineChars="2038" w:firstLine="3261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AA71D3">
        <w:rPr>
          <w:rFonts w:ascii="Times New Roman" w:eastAsia="標楷體" w:hAnsi="Times New Roman" w:cs="Times New Roman"/>
          <w:sz w:val="16"/>
          <w:szCs w:val="16"/>
        </w:rPr>
        <w:t>94.07.21</w:t>
      </w:r>
      <w:r w:rsidRPr="00AA71D3">
        <w:rPr>
          <w:rFonts w:ascii="Times New Roman" w:eastAsia="標楷體" w:hAnsi="Times New Roman" w:cs="Times New Roman"/>
          <w:sz w:val="16"/>
          <w:szCs w:val="16"/>
        </w:rPr>
        <w:t>九十三學年度口腔醫學院第十次院</w:t>
      </w:r>
      <w:proofErr w:type="gramStart"/>
      <w:r w:rsidRPr="00AA71D3">
        <w:rPr>
          <w:rFonts w:ascii="Times New Roman" w:eastAsia="標楷體" w:hAnsi="Times New Roman" w:cs="Times New Roman"/>
          <w:sz w:val="16"/>
          <w:szCs w:val="16"/>
        </w:rPr>
        <w:t>務</w:t>
      </w:r>
      <w:proofErr w:type="gramEnd"/>
      <w:r w:rsidRPr="00AA71D3">
        <w:rPr>
          <w:rFonts w:ascii="Times New Roman" w:eastAsia="標楷體" w:hAnsi="Times New Roman" w:cs="Times New Roman"/>
          <w:sz w:val="16"/>
          <w:szCs w:val="16"/>
        </w:rPr>
        <w:t>會議決議通過</w:t>
      </w:r>
    </w:p>
    <w:p w:rsidR="007419F5" w:rsidRPr="00AA71D3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Times New Roman" w:cs="Times New Roman"/>
          <w:sz w:val="16"/>
          <w:szCs w:val="16"/>
        </w:rPr>
      </w:pPr>
      <w:r w:rsidRPr="00AA71D3">
        <w:rPr>
          <w:rFonts w:ascii="Times New Roman" w:eastAsia="標楷體" w:hAnsi="Times New Roman" w:cs="Times New Roman"/>
          <w:sz w:val="16"/>
          <w:szCs w:val="16"/>
        </w:rPr>
        <w:t>95.01.03</w:t>
      </w:r>
      <w:r w:rsidRPr="00AA71D3">
        <w:rPr>
          <w:rFonts w:ascii="Times New Roman" w:eastAsia="標楷體" w:hAnsi="標楷體" w:cs="Times New Roman"/>
          <w:sz w:val="16"/>
          <w:szCs w:val="16"/>
        </w:rPr>
        <w:t>九十四學年度口腔醫學院口衛系所第三次系所</w:t>
      </w:r>
      <w:proofErr w:type="gramStart"/>
      <w:r w:rsidRPr="00AA71D3">
        <w:rPr>
          <w:rFonts w:ascii="Times New Roman" w:eastAsia="標楷體" w:hAnsi="標楷體" w:cs="Times New Roman"/>
          <w:sz w:val="16"/>
          <w:szCs w:val="16"/>
        </w:rPr>
        <w:t>務</w:t>
      </w:r>
      <w:proofErr w:type="gramEnd"/>
      <w:r w:rsidRPr="00AA71D3">
        <w:rPr>
          <w:rFonts w:ascii="Times New Roman" w:eastAsia="標楷體" w:hAnsi="標楷體" w:cs="Times New Roman"/>
          <w:sz w:val="16"/>
          <w:szCs w:val="16"/>
        </w:rPr>
        <w:t>會議修正通過</w:t>
      </w:r>
    </w:p>
    <w:p w:rsidR="007419F5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 w:rsidRPr="00AA71D3">
        <w:rPr>
          <w:rFonts w:ascii="Times New Roman" w:eastAsia="標楷體" w:hAnsi="Times New Roman" w:cs="Times New Roman"/>
          <w:sz w:val="16"/>
          <w:szCs w:val="16"/>
        </w:rPr>
        <w:t>95.01.05</w:t>
      </w:r>
      <w:r w:rsidRPr="00AA71D3">
        <w:rPr>
          <w:rFonts w:ascii="Times New Roman" w:eastAsia="標楷體" w:hAnsi="標楷體" w:cs="Times New Roman"/>
          <w:sz w:val="16"/>
          <w:szCs w:val="16"/>
        </w:rPr>
        <w:t>九十四學年度口腔醫學院第五次院</w:t>
      </w:r>
      <w:proofErr w:type="gramStart"/>
      <w:r w:rsidRPr="00AA71D3">
        <w:rPr>
          <w:rFonts w:ascii="Times New Roman" w:eastAsia="標楷體" w:hAnsi="標楷體" w:cs="Times New Roman"/>
          <w:sz w:val="16"/>
          <w:szCs w:val="16"/>
        </w:rPr>
        <w:t>務</w:t>
      </w:r>
      <w:proofErr w:type="gramEnd"/>
      <w:r w:rsidRPr="00AA71D3">
        <w:rPr>
          <w:rFonts w:ascii="Times New Roman" w:eastAsia="標楷體" w:hAnsi="標楷體" w:cs="Times New Roman"/>
          <w:sz w:val="16"/>
          <w:szCs w:val="16"/>
        </w:rPr>
        <w:t>會議修正通過</w:t>
      </w:r>
    </w:p>
    <w:p w:rsidR="007419F5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99.03.31</w:t>
      </w:r>
      <w:r>
        <w:rPr>
          <w:rFonts w:ascii="Times New Roman" w:eastAsia="標楷體" w:hAnsi="標楷體" w:cs="Times New Roman" w:hint="eastAsia"/>
          <w:sz w:val="16"/>
          <w:szCs w:val="16"/>
        </w:rPr>
        <w:t>九十八學年度口腔衛生學系第三次系</w:t>
      </w:r>
      <w:proofErr w:type="gramStart"/>
      <w:r>
        <w:rPr>
          <w:rFonts w:ascii="Times New Roman" w:eastAsia="標楷體" w:hAnsi="標楷體" w:cs="Times New Roman" w:hint="eastAsia"/>
          <w:sz w:val="16"/>
          <w:szCs w:val="16"/>
        </w:rPr>
        <w:t>務</w:t>
      </w:r>
      <w:proofErr w:type="gramEnd"/>
      <w:r>
        <w:rPr>
          <w:rFonts w:ascii="Times New Roman" w:eastAsia="標楷體" w:hAnsi="標楷體" w:cs="Times New Roman" w:hint="eastAsia"/>
          <w:sz w:val="16"/>
          <w:szCs w:val="16"/>
        </w:rPr>
        <w:t>會議修正通過</w:t>
      </w:r>
    </w:p>
    <w:p w:rsidR="007419F5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102.06.13</w:t>
      </w:r>
      <w:r>
        <w:rPr>
          <w:rFonts w:ascii="Times New Roman" w:eastAsia="標楷體" w:hAnsi="標楷體" w:cs="Times New Roman" w:hint="eastAsia"/>
          <w:sz w:val="16"/>
          <w:szCs w:val="16"/>
        </w:rPr>
        <w:t>一○一學年度口腔衛生學系第十次系</w:t>
      </w:r>
      <w:proofErr w:type="gramStart"/>
      <w:r>
        <w:rPr>
          <w:rFonts w:ascii="Times New Roman" w:eastAsia="標楷體" w:hAnsi="標楷體" w:cs="Times New Roman" w:hint="eastAsia"/>
          <w:sz w:val="16"/>
          <w:szCs w:val="16"/>
        </w:rPr>
        <w:t>務</w:t>
      </w:r>
      <w:proofErr w:type="gramEnd"/>
      <w:r>
        <w:rPr>
          <w:rFonts w:ascii="Times New Roman" w:eastAsia="標楷體" w:hAnsi="標楷體" w:cs="Times New Roman" w:hint="eastAsia"/>
          <w:sz w:val="16"/>
          <w:szCs w:val="16"/>
        </w:rPr>
        <w:t>會議修正通過</w:t>
      </w:r>
    </w:p>
    <w:p w:rsidR="007419F5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102.09.04</w:t>
      </w:r>
      <w:r>
        <w:rPr>
          <w:rFonts w:ascii="Times New Roman" w:eastAsia="標楷體" w:hAnsi="標楷體" w:cs="Times New Roman" w:hint="eastAsia"/>
          <w:sz w:val="16"/>
          <w:szCs w:val="16"/>
        </w:rPr>
        <w:t>一○二學年度口腔醫學院第一次院</w:t>
      </w:r>
      <w:proofErr w:type="gramStart"/>
      <w:r>
        <w:rPr>
          <w:rFonts w:ascii="Times New Roman" w:eastAsia="標楷體" w:hAnsi="標楷體" w:cs="Times New Roman" w:hint="eastAsia"/>
          <w:sz w:val="16"/>
          <w:szCs w:val="16"/>
        </w:rPr>
        <w:t>務</w:t>
      </w:r>
      <w:proofErr w:type="gramEnd"/>
      <w:r>
        <w:rPr>
          <w:rFonts w:ascii="Times New Roman" w:eastAsia="標楷體" w:hAnsi="標楷體" w:cs="Times New Roman" w:hint="eastAsia"/>
          <w:sz w:val="16"/>
          <w:szCs w:val="16"/>
        </w:rPr>
        <w:t>會議修正通過</w:t>
      </w:r>
    </w:p>
    <w:p w:rsidR="007419F5" w:rsidRDefault="007419F5" w:rsidP="007419F5">
      <w:pPr>
        <w:pStyle w:val="a3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103.12.02</w:t>
      </w:r>
      <w:r>
        <w:rPr>
          <w:rFonts w:ascii="Times New Roman" w:eastAsia="標楷體" w:hAnsi="標楷體" w:cs="Times New Roman" w:hint="eastAsia"/>
          <w:sz w:val="16"/>
          <w:szCs w:val="16"/>
        </w:rPr>
        <w:t>一○三學年度口腔衛生學系第四次系</w:t>
      </w:r>
      <w:proofErr w:type="gramStart"/>
      <w:r>
        <w:rPr>
          <w:rFonts w:ascii="Times New Roman" w:eastAsia="標楷體" w:hAnsi="標楷體" w:cs="Times New Roman" w:hint="eastAsia"/>
          <w:sz w:val="16"/>
          <w:szCs w:val="16"/>
        </w:rPr>
        <w:t>務</w:t>
      </w:r>
      <w:proofErr w:type="gramEnd"/>
      <w:r>
        <w:rPr>
          <w:rFonts w:ascii="Times New Roman" w:eastAsia="標楷體" w:hAnsi="標楷體" w:cs="Times New Roman" w:hint="eastAsia"/>
          <w:sz w:val="16"/>
          <w:szCs w:val="16"/>
        </w:rPr>
        <w:t>會議通過廢止</w:t>
      </w:r>
    </w:p>
    <w:p w:rsidR="007419F5" w:rsidRPr="009B3472" w:rsidRDefault="007419F5" w:rsidP="007419F5">
      <w:pPr>
        <w:pStyle w:val="a3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103.12.24</w:t>
      </w:r>
      <w:r>
        <w:rPr>
          <w:rFonts w:ascii="Times New Roman" w:eastAsia="標楷體" w:hAnsi="標楷體" w:cs="Times New Roman" w:hint="eastAsia"/>
          <w:sz w:val="16"/>
          <w:szCs w:val="16"/>
        </w:rPr>
        <w:t>一○三學年度口腔衛生學系第一次學生實習委員會通過廢止</w:t>
      </w:r>
    </w:p>
    <w:p w:rsidR="007419F5" w:rsidRPr="00316297" w:rsidRDefault="007419F5" w:rsidP="007419F5">
      <w:pPr>
        <w:pStyle w:val="a3"/>
        <w:adjustRightInd w:val="0"/>
        <w:snapToGrid w:val="0"/>
        <w:ind w:firstLineChars="2038" w:firstLine="3261"/>
        <w:jc w:val="both"/>
        <w:rPr>
          <w:rFonts w:ascii="Times New Roman" w:eastAsia="標楷體" w:hAnsi="標楷體" w:cs="Times New Roman"/>
          <w:sz w:val="16"/>
          <w:szCs w:val="16"/>
        </w:rPr>
      </w:pPr>
      <w:r>
        <w:rPr>
          <w:rFonts w:ascii="Times New Roman" w:eastAsia="標楷體" w:hAnsi="標楷體" w:cs="Times New Roman" w:hint="eastAsia"/>
          <w:sz w:val="16"/>
          <w:szCs w:val="16"/>
        </w:rPr>
        <w:t>103.12.30</w:t>
      </w:r>
      <w:r>
        <w:rPr>
          <w:rFonts w:ascii="Times New Roman" w:eastAsia="標楷體" w:hAnsi="標楷體" w:cs="Times New Roman" w:hint="eastAsia"/>
          <w:sz w:val="16"/>
          <w:szCs w:val="16"/>
        </w:rPr>
        <w:t>一○三學年度口腔醫學院第一次學生實習委員會通過廢止</w:t>
      </w:r>
    </w:p>
    <w:p w:rsidR="007419F5" w:rsidRPr="001021AA" w:rsidRDefault="007419F5" w:rsidP="007419F5">
      <w:pPr>
        <w:pStyle w:val="a3"/>
        <w:adjustRightInd w:val="0"/>
        <w:snapToGrid w:val="0"/>
        <w:ind w:firstLineChars="2550" w:firstLine="5100"/>
        <w:jc w:val="both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8789"/>
      </w:tblGrid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第一條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EB1AA1">
              <w:rPr>
                <w:rFonts w:eastAsia="標楷體" w:hAnsi="標楷體"/>
              </w:rPr>
              <w:t>本學系學生須符合「</w:t>
            </w:r>
            <w:r w:rsidRPr="00EB1AA1">
              <w:rPr>
                <w:rFonts w:eastAsia="標楷體"/>
              </w:rPr>
              <w:t>高雄醫學大學口腔醫學院口腔衛生學系學生臨床實習實施要點」所規定之實習生資格，且完成</w:t>
            </w:r>
            <w:r w:rsidRPr="00EB1AA1">
              <w:rPr>
                <w:rFonts w:eastAsia="SimSun"/>
              </w:rPr>
              <w:t>40</w:t>
            </w:r>
            <w:r w:rsidRPr="00EB1AA1">
              <w:rPr>
                <w:rFonts w:eastAsia="標楷體"/>
              </w:rPr>
              <w:t>診（</w:t>
            </w:r>
            <w:r w:rsidRPr="00EB1AA1">
              <w:rPr>
                <w:rFonts w:eastAsia="SimSun"/>
              </w:rPr>
              <w:t>4</w:t>
            </w:r>
            <w:r w:rsidRPr="00EB1AA1">
              <w:rPr>
                <w:rFonts w:eastAsia="標楷體"/>
              </w:rPr>
              <w:t>小時為一診）見習課程者，始得參加實習分發。</w:t>
            </w:r>
          </w:p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eastAsia="標楷體"/>
              </w:rPr>
              <w:t>本學系所要求之專業課程科目為：生理學、</w:t>
            </w:r>
            <w:r w:rsidRPr="00EB1AA1">
              <w:rPr>
                <w:rFonts w:eastAsia="標楷體" w:hint="eastAsia"/>
                <w:color w:val="000000"/>
              </w:rPr>
              <w:t>口腔</w:t>
            </w:r>
            <w:r w:rsidRPr="00EB1AA1">
              <w:rPr>
                <w:rFonts w:eastAsia="標楷體"/>
                <w:color w:val="000000"/>
              </w:rPr>
              <w:t>解剖學</w:t>
            </w:r>
            <w:r w:rsidRPr="00EB1AA1">
              <w:rPr>
                <w:rFonts w:eastAsia="標楷體" w:hint="eastAsia"/>
                <w:color w:val="000000"/>
              </w:rPr>
              <w:t>、</w:t>
            </w:r>
            <w:r w:rsidRPr="00EB1AA1">
              <w:rPr>
                <w:rFonts w:eastAsia="標楷體"/>
                <w:color w:val="000000"/>
              </w:rPr>
              <w:t>口腔胚胎與組織學、牙體形態學、口腔衛生學導論、營養及疾病營養學、</w:t>
            </w:r>
            <w:r w:rsidRPr="00EB1AA1">
              <w:rPr>
                <w:rFonts w:eastAsia="標楷體" w:hint="eastAsia"/>
                <w:color w:val="000000"/>
              </w:rPr>
              <w:t>牙科臨床應用材料</w:t>
            </w:r>
            <w:r w:rsidRPr="00EB1AA1">
              <w:rPr>
                <w:rFonts w:eastAsia="標楷體"/>
                <w:color w:val="000000"/>
              </w:rPr>
              <w:t>、</w:t>
            </w:r>
            <w:r w:rsidRPr="00EB1AA1">
              <w:rPr>
                <w:rFonts w:eastAsia="標楷體" w:hint="eastAsia"/>
                <w:color w:val="000000"/>
              </w:rPr>
              <w:t>口腔預防保健學</w:t>
            </w:r>
            <w:r w:rsidRPr="00EB1AA1">
              <w:rPr>
                <w:rFonts w:eastAsia="標楷體" w:hint="eastAsia"/>
                <w:color w:val="000000"/>
              </w:rPr>
              <w:t>I</w:t>
            </w:r>
            <w:r w:rsidRPr="00EB1AA1">
              <w:rPr>
                <w:rFonts w:eastAsia="標楷體"/>
                <w:color w:val="000000"/>
              </w:rPr>
              <w:t>及消毒與感染控制。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第二條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EB1AA1">
              <w:rPr>
                <w:rFonts w:eastAsia="標楷體"/>
              </w:rPr>
              <w:t>實習分發作業成績申請：</w:t>
            </w:r>
          </w:p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eastAsia="標楷體"/>
              </w:rPr>
              <w:t>本學系三年級全體學生須於下學期開學日前</w:t>
            </w:r>
            <w:proofErr w:type="gramStart"/>
            <w:r w:rsidRPr="00EB1AA1">
              <w:rPr>
                <w:rFonts w:eastAsia="標楷體"/>
              </w:rPr>
              <w:t>一週</w:t>
            </w:r>
            <w:proofErr w:type="gramEnd"/>
            <w:r w:rsidRPr="00EB1AA1">
              <w:rPr>
                <w:rFonts w:eastAsia="標楷體"/>
              </w:rPr>
              <w:t>至教務處申請一年級上學期至三年級上學期之成績單乙份，並逕行影印乙份；成績單正本交由實習負責老師審核後存查，影本由學生自行保管存参。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第三條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EB1AA1">
              <w:rPr>
                <w:rFonts w:eastAsia="標楷體"/>
              </w:rPr>
              <w:t>實習分發成績核算方式：</w:t>
            </w:r>
          </w:p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eastAsia="標楷體"/>
              </w:rPr>
              <w:t>實習分發成績為一年級上學期至三年級上學期之學業平均成績。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第四條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標楷體" w:hAnsi="標楷體" w:cs="Times New Roman"/>
              </w:rPr>
            </w:pPr>
            <w:r w:rsidRPr="00EB1AA1">
              <w:rPr>
                <w:rFonts w:eastAsia="標楷體"/>
              </w:rPr>
              <w:t>學業平均成績</w:t>
            </w:r>
            <w:r w:rsidRPr="00EB1AA1">
              <w:rPr>
                <w:rFonts w:eastAsia="標楷體"/>
                <w:bCs/>
              </w:rPr>
              <w:t>之總排名次為實習分發順位；計畫於三年級下學期重修專業課程科目者，其分發順位於已修畢專業課程科目者之後，</w:t>
            </w:r>
            <w:r w:rsidRPr="00EB1AA1">
              <w:rPr>
                <w:rFonts w:eastAsia="標楷體"/>
              </w:rPr>
              <w:t>其重修之學分視為及格學分</w:t>
            </w:r>
            <w:r w:rsidRPr="00EB1AA1">
              <w:rPr>
                <w:rFonts w:eastAsia="標楷體"/>
                <w:bCs/>
              </w:rPr>
              <w:t>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第五條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 w:rsidRPr="00EB1AA1">
              <w:rPr>
                <w:rFonts w:eastAsia="標楷體"/>
                <w:bCs/>
              </w:rPr>
              <w:t>實習分發當日注意事項：</w:t>
            </w:r>
          </w:p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ind w:left="492" w:hangingChars="205" w:hanging="492"/>
              <w:rPr>
                <w:rFonts w:eastAsia="標楷體"/>
              </w:rPr>
            </w:pPr>
            <w:r w:rsidRPr="00EB1AA1">
              <w:rPr>
                <w:rFonts w:eastAsia="標楷體" w:hint="eastAsia"/>
                <w:bCs/>
              </w:rPr>
              <w:t>一、</w:t>
            </w:r>
            <w:r w:rsidRPr="00EB1AA1">
              <w:rPr>
                <w:rFonts w:eastAsia="標楷體"/>
                <w:bCs/>
              </w:rPr>
              <w:t>實習分發當日需為本人出席，不可委託他人出席；</w:t>
            </w:r>
            <w:r w:rsidRPr="00EB1AA1">
              <w:rPr>
                <w:rFonts w:eastAsia="標楷體"/>
              </w:rPr>
              <w:t>無故不到或</w:t>
            </w:r>
            <w:proofErr w:type="gramStart"/>
            <w:r w:rsidRPr="00EB1AA1">
              <w:rPr>
                <w:rFonts w:eastAsia="標楷體"/>
              </w:rPr>
              <w:t>經喊名</w:t>
            </w:r>
            <w:proofErr w:type="gramEnd"/>
            <w:r w:rsidRPr="00EB1AA1">
              <w:rPr>
                <w:rFonts w:eastAsia="標楷體"/>
              </w:rPr>
              <w:t>三次不到者，分發順位延至最後順位。</w:t>
            </w:r>
          </w:p>
          <w:p w:rsidR="007419F5" w:rsidRPr="00EB1AA1" w:rsidRDefault="007419F5" w:rsidP="00CE4FF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proofErr w:type="gramStart"/>
            <w:r w:rsidRPr="00EB1AA1">
              <w:rPr>
                <w:rFonts w:eastAsia="標楷體"/>
              </w:rPr>
              <w:t>個人填選實習</w:t>
            </w:r>
            <w:proofErr w:type="gramEnd"/>
            <w:r w:rsidRPr="00EB1AA1">
              <w:rPr>
                <w:rFonts w:eastAsia="標楷體"/>
              </w:rPr>
              <w:t>單位後須再親筆簽名確認，才視為完成分發作業；若請他人代</w:t>
            </w:r>
            <w:proofErr w:type="gramStart"/>
            <w:r w:rsidRPr="00EB1AA1">
              <w:rPr>
                <w:rFonts w:eastAsia="標楷體"/>
              </w:rPr>
              <w:t>為填選</w:t>
            </w:r>
            <w:proofErr w:type="gramEnd"/>
            <w:r w:rsidRPr="00EB1AA1">
              <w:rPr>
                <w:rFonts w:eastAsia="標楷體"/>
              </w:rPr>
              <w:t>簽名或無親筆簽名確任，則視同無效。</w:t>
            </w:r>
          </w:p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標楷體"/>
              </w:rPr>
            </w:pPr>
            <w:r w:rsidRPr="00EB1AA1">
              <w:rPr>
                <w:rFonts w:eastAsia="標楷體" w:hint="eastAsia"/>
              </w:rPr>
              <w:t>三、</w:t>
            </w:r>
            <w:r w:rsidRPr="00EB1AA1">
              <w:rPr>
                <w:rFonts w:eastAsia="標楷體"/>
              </w:rPr>
              <w:t>實習班班代表負責實習分發當日之人員管制、場地借用等事宜。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第六條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proofErr w:type="gramStart"/>
            <w:r w:rsidRPr="00EB1AA1">
              <w:rPr>
                <w:rFonts w:eastAsia="標楷體"/>
                <w:bCs/>
              </w:rPr>
              <w:t>準</w:t>
            </w:r>
            <w:proofErr w:type="gramEnd"/>
            <w:r w:rsidRPr="00EB1AA1">
              <w:rPr>
                <w:rFonts w:eastAsia="標楷體"/>
                <w:bCs/>
              </w:rPr>
              <w:t>實習生注意事項：</w:t>
            </w:r>
          </w:p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ind w:left="492" w:hangingChars="205" w:hanging="492"/>
              <w:jc w:val="both"/>
              <w:rPr>
                <w:rFonts w:eastAsia="標楷體"/>
              </w:rPr>
            </w:pPr>
            <w:r w:rsidRPr="00EB1AA1">
              <w:rPr>
                <w:rFonts w:eastAsia="標楷體" w:hint="eastAsia"/>
              </w:rPr>
              <w:t>一、</w:t>
            </w:r>
            <w:r w:rsidRPr="00EB1AA1">
              <w:rPr>
                <w:rFonts w:eastAsia="標楷體"/>
              </w:rPr>
              <w:t>實習單位經公開分發完成後，學生不得私下擅自更換實習單位或要求再作更動，違者所分發之實習單位視同無效。</w:t>
            </w:r>
          </w:p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ind w:left="492" w:hangingChars="205" w:hanging="492"/>
              <w:jc w:val="both"/>
              <w:rPr>
                <w:rFonts w:eastAsia="標楷體"/>
              </w:rPr>
            </w:pPr>
            <w:r w:rsidRPr="00EB1AA1">
              <w:rPr>
                <w:rFonts w:eastAsia="標楷體" w:hint="eastAsia"/>
              </w:rPr>
              <w:t>二、</w:t>
            </w:r>
            <w:r w:rsidRPr="00EB1AA1">
              <w:rPr>
                <w:rFonts w:eastAsia="標楷體"/>
              </w:rPr>
              <w:t>分發作業中，</w:t>
            </w:r>
            <w:proofErr w:type="gramStart"/>
            <w:r w:rsidRPr="00EB1AA1">
              <w:rPr>
                <w:rFonts w:eastAsia="標楷體"/>
              </w:rPr>
              <w:t>準</w:t>
            </w:r>
            <w:proofErr w:type="gramEnd"/>
            <w:r w:rsidRPr="00EB1AA1">
              <w:rPr>
                <w:rFonts w:eastAsia="標楷體"/>
              </w:rPr>
              <w:t>實習生一律不得請人代為關說或運用關係影響實習分發作業，且不得私下向實習單位要求該單位名額外之實習名額。</w:t>
            </w:r>
          </w:p>
          <w:p w:rsidR="007419F5" w:rsidRPr="00EB1AA1" w:rsidRDefault="007419F5" w:rsidP="00CE4FF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proofErr w:type="gramStart"/>
            <w:r w:rsidRPr="00EB1AA1">
              <w:rPr>
                <w:rFonts w:eastAsia="標楷體"/>
              </w:rPr>
              <w:t>準</w:t>
            </w:r>
            <w:proofErr w:type="gramEnd"/>
            <w:r w:rsidRPr="00EB1AA1">
              <w:rPr>
                <w:rFonts w:eastAsia="標楷體"/>
              </w:rPr>
              <w:t>實習生必須與家長確實討論有關實習分發志願問題，一經分發確認後將不得再作變更。</w:t>
            </w:r>
          </w:p>
          <w:p w:rsidR="007419F5" w:rsidRPr="00EB1AA1" w:rsidRDefault="007419F5" w:rsidP="00CE4FF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EB1AA1">
              <w:rPr>
                <w:rFonts w:eastAsia="標楷體"/>
              </w:rPr>
              <w:t>若因特殊原因或非人為因素致使無法至原分發之實習單位實習時，須經實習負責老師提請系</w:t>
            </w:r>
            <w:proofErr w:type="gramStart"/>
            <w:r w:rsidRPr="00EB1AA1">
              <w:rPr>
                <w:rFonts w:eastAsia="標楷體"/>
              </w:rPr>
              <w:t>務</w:t>
            </w:r>
            <w:proofErr w:type="gramEnd"/>
            <w:r w:rsidRPr="00EB1AA1">
              <w:rPr>
                <w:rFonts w:eastAsia="標楷體"/>
              </w:rPr>
              <w:t>會議討論，否則不得要求再作變更。</w:t>
            </w:r>
          </w:p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 w:rsidRPr="00EB1AA1">
              <w:rPr>
                <w:rFonts w:eastAsia="標楷體" w:hint="eastAsia"/>
              </w:rPr>
              <w:t>五、</w:t>
            </w:r>
            <w:r w:rsidRPr="00EB1AA1">
              <w:rPr>
                <w:rFonts w:eastAsia="標楷體"/>
              </w:rPr>
              <w:t>實習分發前座談會</w:t>
            </w:r>
            <w:r w:rsidRPr="00EB1AA1">
              <w:rPr>
                <w:rFonts w:eastAsia="標楷體"/>
              </w:rPr>
              <w:t>(</w:t>
            </w:r>
            <w:r w:rsidRPr="00EB1AA1">
              <w:rPr>
                <w:rFonts w:eastAsia="標楷體"/>
              </w:rPr>
              <w:t>實習單位簡介</w:t>
            </w:r>
            <w:r w:rsidRPr="00EB1AA1">
              <w:rPr>
                <w:rFonts w:eastAsia="標楷體"/>
              </w:rPr>
              <w:t>)</w:t>
            </w:r>
            <w:r w:rsidRPr="00EB1AA1">
              <w:rPr>
                <w:rFonts w:eastAsia="標楷體"/>
              </w:rPr>
              <w:t>、模擬分發座談會</w:t>
            </w:r>
            <w:r w:rsidRPr="00EB1AA1">
              <w:rPr>
                <w:rFonts w:eastAsia="標楷體"/>
              </w:rPr>
              <w:t>(</w:t>
            </w:r>
            <w:r w:rsidRPr="00EB1AA1">
              <w:rPr>
                <w:rFonts w:eastAsia="標楷體"/>
              </w:rPr>
              <w:t>模擬分發作業</w:t>
            </w:r>
            <w:r w:rsidRPr="00EB1AA1">
              <w:rPr>
                <w:rFonts w:eastAsia="標楷體"/>
              </w:rPr>
              <w:t>)</w:t>
            </w:r>
            <w:r w:rsidRPr="00EB1AA1">
              <w:rPr>
                <w:rFonts w:eastAsia="標楷體"/>
              </w:rPr>
              <w:t>，</w:t>
            </w:r>
            <w:proofErr w:type="gramStart"/>
            <w:r w:rsidRPr="00EB1AA1">
              <w:rPr>
                <w:rFonts w:eastAsia="標楷體"/>
              </w:rPr>
              <w:t>準</w:t>
            </w:r>
            <w:proofErr w:type="gramEnd"/>
            <w:r w:rsidRPr="00EB1AA1">
              <w:rPr>
                <w:rFonts w:eastAsia="標楷體"/>
              </w:rPr>
              <w:t>實習生全數參加；無故不到者，以曠課二小時議處。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第七條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 w:rsidRPr="00EB1AA1">
              <w:rPr>
                <w:rFonts w:eastAsia="標楷體" w:hAnsi="標楷體"/>
              </w:rPr>
              <w:t>本要點未規定事項，依照本校、本學院或本學系其他相關規定辦理。</w:t>
            </w:r>
          </w:p>
        </w:tc>
      </w:tr>
      <w:tr w:rsidR="007419F5" w:rsidTr="00CE4FFF">
        <w:tc>
          <w:tcPr>
            <w:tcW w:w="1242" w:type="dxa"/>
          </w:tcPr>
          <w:p w:rsidR="007419F5" w:rsidRPr="00EB1AA1" w:rsidRDefault="007419F5" w:rsidP="00CE4FFF">
            <w:pPr>
              <w:pStyle w:val="a3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1AA1">
              <w:rPr>
                <w:rFonts w:ascii="Times New Roman" w:eastAsia="標楷體" w:hAnsi="Times New Roman" w:cs="Times New Roman" w:hint="eastAsia"/>
              </w:rPr>
              <w:t>第八條</w:t>
            </w:r>
          </w:p>
        </w:tc>
        <w:tc>
          <w:tcPr>
            <w:tcW w:w="8789" w:type="dxa"/>
          </w:tcPr>
          <w:p w:rsidR="007419F5" w:rsidRPr="00EB1AA1" w:rsidRDefault="007419F5" w:rsidP="00CE4FF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 w:hAnsi="標楷體"/>
              </w:rPr>
            </w:pPr>
            <w:r w:rsidRPr="00EB1AA1">
              <w:rPr>
                <w:rFonts w:eastAsia="標楷體"/>
                <w:bCs/>
              </w:rPr>
              <w:t>本辦法經系</w:t>
            </w:r>
            <w:proofErr w:type="gramStart"/>
            <w:r w:rsidRPr="00EB1AA1">
              <w:rPr>
                <w:rFonts w:eastAsia="標楷體"/>
                <w:bCs/>
              </w:rPr>
              <w:t>務</w:t>
            </w:r>
            <w:proofErr w:type="gramEnd"/>
            <w:r w:rsidRPr="00EB1AA1">
              <w:rPr>
                <w:rFonts w:eastAsia="標楷體"/>
                <w:bCs/>
              </w:rPr>
              <w:t>及院</w:t>
            </w:r>
            <w:proofErr w:type="gramStart"/>
            <w:r w:rsidRPr="00EB1AA1">
              <w:rPr>
                <w:rFonts w:eastAsia="標楷體"/>
                <w:bCs/>
              </w:rPr>
              <w:t>務</w:t>
            </w:r>
            <w:proofErr w:type="gramEnd"/>
            <w:r w:rsidRPr="00EB1AA1">
              <w:rPr>
                <w:rFonts w:eastAsia="標楷體"/>
                <w:bCs/>
              </w:rPr>
              <w:t>會議通過後實施，修正時亦同。</w:t>
            </w:r>
          </w:p>
        </w:tc>
      </w:tr>
    </w:tbl>
    <w:p w:rsidR="007419F5" w:rsidRPr="009B3472" w:rsidRDefault="007419F5" w:rsidP="007419F5">
      <w:pPr>
        <w:widowControl/>
      </w:pPr>
    </w:p>
    <w:p w:rsidR="007419F5" w:rsidRPr="00EB1AA1" w:rsidRDefault="007419F5" w:rsidP="007419F5">
      <w:pPr>
        <w:pStyle w:val="a5"/>
        <w:widowControl/>
        <w:rPr>
          <w:rFonts w:ascii="新細明體" w:hAnsi="新細明體"/>
          <w:bCs/>
          <w:color w:val="000000"/>
          <w:sz w:val="20"/>
          <w:szCs w:val="20"/>
        </w:rPr>
      </w:pPr>
    </w:p>
    <w:p w:rsidR="00916DF9" w:rsidRPr="007419F5" w:rsidRDefault="00916DF9"/>
    <w:sectPr w:rsidR="00916DF9" w:rsidRPr="007419F5" w:rsidSect="00E02307">
      <w:pgSz w:w="11906" w:h="16838" w:code="9"/>
      <w:pgMar w:top="709" w:right="626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31" w:rsidRDefault="00323131" w:rsidP="002951FA">
      <w:r>
        <w:separator/>
      </w:r>
    </w:p>
  </w:endnote>
  <w:endnote w:type="continuationSeparator" w:id="0">
    <w:p w:rsidR="00323131" w:rsidRDefault="00323131" w:rsidP="0029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31" w:rsidRDefault="00323131" w:rsidP="002951FA">
      <w:r>
        <w:separator/>
      </w:r>
    </w:p>
  </w:footnote>
  <w:footnote w:type="continuationSeparator" w:id="0">
    <w:p w:rsidR="00323131" w:rsidRDefault="00323131" w:rsidP="0029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763B"/>
    <w:multiLevelType w:val="hybridMultilevel"/>
    <w:tmpl w:val="27B6E99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8CA432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9F5"/>
    <w:rsid w:val="002951FA"/>
    <w:rsid w:val="00323131"/>
    <w:rsid w:val="003E40B9"/>
    <w:rsid w:val="007419F5"/>
    <w:rsid w:val="00916DF9"/>
    <w:rsid w:val="00A6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19F5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419F5"/>
    <w:rPr>
      <w:rFonts w:ascii="細明體" w:eastAsia="細明體" w:hAnsi="Courier New" w:cs="Courier New"/>
      <w:szCs w:val="24"/>
    </w:rPr>
  </w:style>
  <w:style w:type="paragraph" w:styleId="a5">
    <w:name w:val="annotation text"/>
    <w:basedOn w:val="a"/>
    <w:link w:val="a6"/>
    <w:rsid w:val="007419F5"/>
  </w:style>
  <w:style w:type="character" w:customStyle="1" w:styleId="a6">
    <w:name w:val="註解文字 字元"/>
    <w:basedOn w:val="a0"/>
    <w:link w:val="a5"/>
    <w:rsid w:val="007419F5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9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1F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1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646</Characters>
  <Application>Microsoft Office Word</Application>
  <DocSecurity>0</DocSecurity>
  <Lines>25</Lines>
  <Paragraphs>26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鄭怡秀</dc:creator>
  <cp:keywords/>
  <dc:description/>
  <cp:lastModifiedBy>Administrator</cp:lastModifiedBy>
  <cp:revision>2</cp:revision>
  <dcterms:created xsi:type="dcterms:W3CDTF">2015-01-27T03:28:00Z</dcterms:created>
  <dcterms:modified xsi:type="dcterms:W3CDTF">2015-01-27T03:28:00Z</dcterms:modified>
</cp:coreProperties>
</file>