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98A7" w14:textId="77777777" w:rsidR="005B51B8" w:rsidRPr="003223F9" w:rsidRDefault="005B51B8" w:rsidP="009D2BF8">
      <w:pPr>
        <w:spacing w:afterLines="50" w:after="180" w:line="480" w:lineRule="exact"/>
        <w:rPr>
          <w:rFonts w:eastAsia="標楷體"/>
          <w:b/>
          <w:color w:val="000000"/>
          <w:sz w:val="32"/>
          <w:szCs w:val="32"/>
        </w:rPr>
      </w:pPr>
      <w:r w:rsidRPr="003223F9">
        <w:rPr>
          <w:rFonts w:eastAsia="標楷體"/>
          <w:b/>
          <w:color w:val="000000"/>
          <w:sz w:val="32"/>
          <w:szCs w:val="32"/>
        </w:rPr>
        <w:t>高雄醫學大學推動性別平等教育獎勵辦法</w:t>
      </w:r>
    </w:p>
    <w:p w14:paraId="36A311FD" w14:textId="77777777" w:rsidR="001C7D5D" w:rsidRPr="003223F9" w:rsidRDefault="001C7D5D" w:rsidP="001C7D5D">
      <w:pPr>
        <w:spacing w:afterLines="50" w:after="180" w:line="480" w:lineRule="exact"/>
        <w:rPr>
          <w:rFonts w:eastAsia="標楷體"/>
          <w:b/>
          <w:color w:val="000000"/>
          <w:sz w:val="32"/>
          <w:szCs w:val="32"/>
        </w:rPr>
      </w:pPr>
      <w:r w:rsidRPr="003223F9">
        <w:rPr>
          <w:rFonts w:eastAsia="標楷體"/>
          <w:b/>
          <w:color w:val="000000"/>
          <w:sz w:val="32"/>
          <w:szCs w:val="32"/>
        </w:rPr>
        <w:t>Kaohsiung Medical University</w:t>
      </w:r>
    </w:p>
    <w:p w14:paraId="28F5F027" w14:textId="77777777" w:rsidR="001C7D5D" w:rsidRPr="003223F9" w:rsidRDefault="001C7D5D" w:rsidP="001C7D5D">
      <w:pPr>
        <w:spacing w:afterLines="50" w:after="180" w:line="480" w:lineRule="exact"/>
        <w:rPr>
          <w:rFonts w:eastAsia="標楷體"/>
          <w:b/>
          <w:color w:val="000000"/>
          <w:sz w:val="32"/>
          <w:szCs w:val="32"/>
        </w:rPr>
      </w:pPr>
      <w:r w:rsidRPr="003223F9">
        <w:rPr>
          <w:rFonts w:eastAsia="標楷體"/>
          <w:b/>
          <w:color w:val="000000"/>
          <w:sz w:val="32"/>
          <w:szCs w:val="32"/>
        </w:rPr>
        <w:t>Regulations for Rewarding the Promotion of Gender Equity Education</w:t>
      </w:r>
    </w:p>
    <w:p w14:paraId="7E0AC874" w14:textId="77777777" w:rsidR="004E172F" w:rsidRPr="003223F9" w:rsidRDefault="004E172F" w:rsidP="00644013">
      <w:pPr>
        <w:spacing w:line="0" w:lineRule="atLeast"/>
        <w:ind w:leftChars="333" w:left="799" w:firstLineChars="1040" w:firstLine="2080"/>
        <w:jc w:val="right"/>
        <w:rPr>
          <w:rFonts w:eastAsia="標楷體"/>
          <w:color w:val="000000"/>
          <w:sz w:val="20"/>
          <w:szCs w:val="20"/>
        </w:rPr>
      </w:pPr>
      <w:r w:rsidRPr="003223F9">
        <w:rPr>
          <w:rFonts w:eastAsia="標楷體"/>
          <w:color w:val="000000"/>
          <w:sz w:val="20"/>
          <w:szCs w:val="20"/>
        </w:rPr>
        <w:t>100.01.17</w:t>
      </w:r>
      <w:r w:rsidRPr="003223F9">
        <w:rPr>
          <w:rFonts w:eastAsia="標楷體"/>
          <w:color w:val="000000"/>
          <w:sz w:val="20"/>
          <w:szCs w:val="20"/>
        </w:rPr>
        <w:t>九十九學年度性別平等教育委員會第一次會議通過</w:t>
      </w:r>
    </w:p>
    <w:p w14:paraId="7EB9047F" w14:textId="77777777" w:rsidR="004E172F" w:rsidRPr="003223F9" w:rsidRDefault="004E172F" w:rsidP="00644013">
      <w:pPr>
        <w:spacing w:line="0" w:lineRule="atLeast"/>
        <w:ind w:leftChars="333" w:left="799" w:firstLineChars="1040" w:firstLine="2080"/>
        <w:jc w:val="right"/>
        <w:rPr>
          <w:rFonts w:eastAsia="標楷體" w:hint="eastAsia"/>
          <w:color w:val="000000"/>
          <w:sz w:val="20"/>
          <w:szCs w:val="20"/>
        </w:rPr>
      </w:pPr>
      <w:r w:rsidRPr="003223F9">
        <w:rPr>
          <w:rFonts w:eastAsia="標楷體"/>
          <w:color w:val="000000"/>
          <w:sz w:val="20"/>
          <w:szCs w:val="20"/>
        </w:rPr>
        <w:t>January 17, 2011 Passed by the 1</w:t>
      </w:r>
      <w:r w:rsidRPr="003223F9">
        <w:rPr>
          <w:rFonts w:eastAsia="標楷體"/>
          <w:color w:val="000000"/>
          <w:sz w:val="20"/>
          <w:szCs w:val="20"/>
          <w:vertAlign w:val="superscript"/>
        </w:rPr>
        <w:t>st</w:t>
      </w:r>
      <w:r w:rsidRPr="003223F9">
        <w:rPr>
          <w:rFonts w:eastAsia="標楷體"/>
          <w:color w:val="000000"/>
          <w:sz w:val="20"/>
          <w:szCs w:val="20"/>
        </w:rPr>
        <w:t xml:space="preserve"> the Gender Equality Education Committee Meeting of the Academic Year 2010</w:t>
      </w:r>
    </w:p>
    <w:p w14:paraId="1AEE6DCE" w14:textId="77777777" w:rsidR="004E172F" w:rsidRPr="003223F9" w:rsidRDefault="004E172F" w:rsidP="00644013">
      <w:pPr>
        <w:spacing w:line="0" w:lineRule="atLeast"/>
        <w:ind w:leftChars="333" w:left="799" w:firstLineChars="1040" w:firstLine="2080"/>
        <w:jc w:val="right"/>
        <w:rPr>
          <w:rFonts w:eastAsia="標楷體"/>
          <w:color w:val="000000"/>
          <w:sz w:val="20"/>
          <w:szCs w:val="20"/>
        </w:rPr>
      </w:pPr>
      <w:r w:rsidRPr="003223F9">
        <w:rPr>
          <w:rFonts w:eastAsia="標楷體"/>
          <w:color w:val="000000"/>
          <w:sz w:val="20"/>
          <w:szCs w:val="20"/>
        </w:rPr>
        <w:t>100.02.17</w:t>
      </w:r>
      <w:r w:rsidRPr="003223F9">
        <w:rPr>
          <w:rFonts w:eastAsia="標楷體"/>
          <w:color w:val="000000"/>
          <w:sz w:val="20"/>
          <w:szCs w:val="20"/>
        </w:rPr>
        <w:t>九十九學年度第七次行政會議修正通過</w:t>
      </w:r>
    </w:p>
    <w:p w14:paraId="47F74071" w14:textId="77777777" w:rsidR="004E172F" w:rsidRPr="003223F9" w:rsidRDefault="004E172F" w:rsidP="00644013">
      <w:pPr>
        <w:spacing w:line="0" w:lineRule="atLeast"/>
        <w:ind w:leftChars="333" w:left="799" w:firstLineChars="1040" w:firstLine="2080"/>
        <w:jc w:val="right"/>
        <w:rPr>
          <w:rFonts w:eastAsia="標楷體" w:hint="eastAsia"/>
          <w:color w:val="000000"/>
          <w:sz w:val="20"/>
          <w:szCs w:val="20"/>
        </w:rPr>
      </w:pPr>
      <w:r w:rsidRPr="003223F9">
        <w:rPr>
          <w:rFonts w:eastAsia="標楷體"/>
          <w:color w:val="000000"/>
          <w:sz w:val="20"/>
          <w:szCs w:val="20"/>
        </w:rPr>
        <w:t>February 17, 2011 Amended and Passed by the 7</w:t>
      </w:r>
      <w:r w:rsidRPr="003223F9">
        <w:rPr>
          <w:rFonts w:eastAsia="標楷體"/>
          <w:color w:val="000000"/>
          <w:sz w:val="20"/>
          <w:szCs w:val="20"/>
          <w:vertAlign w:val="superscript"/>
        </w:rPr>
        <w:t>th</w:t>
      </w:r>
      <w:r w:rsidRPr="003223F9">
        <w:rPr>
          <w:rFonts w:eastAsia="標楷體"/>
          <w:color w:val="000000"/>
          <w:sz w:val="20"/>
          <w:szCs w:val="20"/>
        </w:rPr>
        <w:t xml:space="preserve"> Administrative Meeting of the Academic Year 2010</w:t>
      </w:r>
    </w:p>
    <w:p w14:paraId="73700943" w14:textId="77777777" w:rsidR="004E172F" w:rsidRPr="003223F9" w:rsidRDefault="004E172F" w:rsidP="00644013">
      <w:pPr>
        <w:spacing w:line="0" w:lineRule="atLeast"/>
        <w:ind w:leftChars="333" w:left="799" w:firstLineChars="1040" w:firstLine="2080"/>
        <w:jc w:val="right"/>
        <w:rPr>
          <w:rFonts w:eastAsia="標楷體"/>
          <w:color w:val="000000"/>
          <w:sz w:val="20"/>
          <w:szCs w:val="20"/>
        </w:rPr>
      </w:pPr>
      <w:r w:rsidRPr="003223F9">
        <w:rPr>
          <w:rFonts w:eastAsia="標楷體"/>
          <w:color w:val="000000"/>
          <w:sz w:val="20"/>
          <w:szCs w:val="20"/>
        </w:rPr>
        <w:t>100.03.18</w:t>
      </w:r>
      <w:r w:rsidRPr="003223F9">
        <w:rPr>
          <w:rFonts w:eastAsia="標楷體"/>
          <w:color w:val="000000"/>
          <w:sz w:val="20"/>
          <w:szCs w:val="20"/>
        </w:rPr>
        <w:t>高</w:t>
      </w:r>
      <w:proofErr w:type="gramStart"/>
      <w:r w:rsidRPr="003223F9">
        <w:rPr>
          <w:rFonts w:eastAsia="標楷體"/>
          <w:color w:val="000000"/>
          <w:sz w:val="20"/>
          <w:szCs w:val="20"/>
        </w:rPr>
        <w:t>醫</w:t>
      </w:r>
      <w:proofErr w:type="gramEnd"/>
      <w:r w:rsidRPr="003223F9">
        <w:rPr>
          <w:rFonts w:eastAsia="標楷體"/>
          <w:color w:val="000000"/>
          <w:sz w:val="20"/>
          <w:szCs w:val="20"/>
        </w:rPr>
        <w:t>秘字第</w:t>
      </w:r>
      <w:r w:rsidRPr="003223F9">
        <w:rPr>
          <w:rFonts w:eastAsia="標楷體"/>
          <w:color w:val="000000"/>
          <w:sz w:val="20"/>
          <w:szCs w:val="20"/>
        </w:rPr>
        <w:t>1001100818</w:t>
      </w:r>
      <w:r w:rsidRPr="003223F9">
        <w:rPr>
          <w:rFonts w:eastAsia="標楷體"/>
          <w:color w:val="000000"/>
          <w:sz w:val="20"/>
          <w:szCs w:val="20"/>
        </w:rPr>
        <w:t>號函公布</w:t>
      </w:r>
    </w:p>
    <w:p w14:paraId="2C2043DB" w14:textId="77777777" w:rsidR="004E172F" w:rsidRPr="003223F9" w:rsidRDefault="004E172F" w:rsidP="004E172F">
      <w:pPr>
        <w:spacing w:line="0" w:lineRule="atLeast"/>
        <w:ind w:leftChars="333" w:left="799" w:firstLineChars="1040" w:firstLine="2080"/>
        <w:jc w:val="right"/>
        <w:rPr>
          <w:rFonts w:eastAsia="標楷體" w:hint="eastAsia"/>
          <w:color w:val="000000"/>
          <w:sz w:val="20"/>
          <w:szCs w:val="20"/>
        </w:rPr>
      </w:pPr>
      <w:r w:rsidRPr="003223F9">
        <w:rPr>
          <w:rFonts w:eastAsia="標楷體"/>
          <w:color w:val="000000"/>
          <w:sz w:val="20"/>
          <w:szCs w:val="20"/>
        </w:rPr>
        <w:t>March 18, 2011 Promulgated via the KMU official letter Mi Tzu No. 1001100818</w:t>
      </w:r>
    </w:p>
    <w:tbl>
      <w:tblPr>
        <w:tblW w:w="9801" w:type="dxa"/>
        <w:jc w:val="center"/>
        <w:tblLook w:val="01E0" w:firstRow="1" w:lastRow="1" w:firstColumn="1" w:lastColumn="1" w:noHBand="0" w:noVBand="0"/>
      </w:tblPr>
      <w:tblGrid>
        <w:gridCol w:w="1144"/>
        <w:gridCol w:w="8657"/>
      </w:tblGrid>
      <w:tr w:rsidR="005B51B8" w:rsidRPr="003223F9" w14:paraId="12069296" w14:textId="77777777" w:rsidTr="00BB540C">
        <w:trPr>
          <w:jc w:val="center"/>
        </w:trPr>
        <w:tc>
          <w:tcPr>
            <w:tcW w:w="1144" w:type="dxa"/>
          </w:tcPr>
          <w:p w14:paraId="6CD7ED6A" w14:textId="77777777" w:rsidR="005B51B8" w:rsidRPr="003223F9" w:rsidRDefault="005B51B8" w:rsidP="00BB540C">
            <w:pPr>
              <w:spacing w:line="600" w:lineRule="exact"/>
              <w:jc w:val="center"/>
              <w:rPr>
                <w:rFonts w:eastAsia="標楷體"/>
                <w:color w:val="000000"/>
                <w:kern w:val="0"/>
              </w:rPr>
            </w:pPr>
            <w:r w:rsidRPr="003223F9">
              <w:rPr>
                <w:rFonts w:eastAsia="標楷體"/>
                <w:color w:val="000000"/>
                <w:kern w:val="0"/>
              </w:rPr>
              <w:t>第一條</w:t>
            </w:r>
          </w:p>
          <w:p w14:paraId="32BBF8F0" w14:textId="77777777" w:rsidR="001C7D5D" w:rsidRPr="003223F9" w:rsidRDefault="001C7D5D" w:rsidP="00BB540C">
            <w:pPr>
              <w:spacing w:line="600" w:lineRule="exact"/>
              <w:jc w:val="center"/>
              <w:rPr>
                <w:rFonts w:eastAsia="標楷體"/>
                <w:color w:val="000000"/>
                <w:kern w:val="0"/>
              </w:rPr>
            </w:pPr>
            <w:r w:rsidRPr="003223F9">
              <w:rPr>
                <w:rFonts w:eastAsia="標楷體"/>
                <w:color w:val="000000"/>
                <w:kern w:val="0"/>
              </w:rPr>
              <w:t>Article 1</w:t>
            </w:r>
          </w:p>
        </w:tc>
        <w:tc>
          <w:tcPr>
            <w:tcW w:w="8657" w:type="dxa"/>
          </w:tcPr>
          <w:p w14:paraId="7049EBB9" w14:textId="77777777" w:rsidR="005B51B8" w:rsidRPr="003223F9" w:rsidRDefault="005B51B8" w:rsidP="00BB540C">
            <w:pPr>
              <w:spacing w:line="600" w:lineRule="exact"/>
              <w:jc w:val="both"/>
              <w:rPr>
                <w:rFonts w:eastAsia="標楷體"/>
                <w:color w:val="000000"/>
                <w:kern w:val="0"/>
              </w:rPr>
            </w:pPr>
            <w:r w:rsidRPr="003223F9">
              <w:rPr>
                <w:rFonts w:eastAsia="標楷體"/>
                <w:color w:val="000000"/>
                <w:kern w:val="0"/>
              </w:rPr>
              <w:t>高雄醫學大學</w:t>
            </w:r>
            <w:r w:rsidRPr="003223F9">
              <w:rPr>
                <w:rFonts w:eastAsia="標楷體"/>
                <w:color w:val="000000"/>
                <w:kern w:val="0"/>
              </w:rPr>
              <w:t>(</w:t>
            </w:r>
            <w:r w:rsidRPr="003223F9">
              <w:rPr>
                <w:rFonts w:eastAsia="標楷體"/>
                <w:color w:val="000000"/>
                <w:kern w:val="0"/>
              </w:rPr>
              <w:t>以下簡稱本校</w:t>
            </w:r>
            <w:r w:rsidRPr="003223F9">
              <w:rPr>
                <w:rFonts w:eastAsia="標楷體"/>
                <w:color w:val="000000"/>
                <w:kern w:val="0"/>
              </w:rPr>
              <w:t>)</w:t>
            </w:r>
            <w:r w:rsidRPr="003223F9">
              <w:rPr>
                <w:rFonts w:eastAsia="標楷體"/>
                <w:color w:val="000000"/>
                <w:kern w:val="0"/>
              </w:rPr>
              <w:t>為鼓勵教職員工生積極參與推動性別平等教育，依據本校性別平等教育實施辦法第</w:t>
            </w:r>
            <w:r w:rsidRPr="003223F9">
              <w:rPr>
                <w:rFonts w:eastAsia="標楷體"/>
                <w:color w:val="000000"/>
                <w:kern w:val="0"/>
              </w:rPr>
              <w:t>13</w:t>
            </w:r>
            <w:r w:rsidRPr="003223F9">
              <w:rPr>
                <w:rFonts w:eastAsia="標楷體"/>
                <w:color w:val="000000"/>
                <w:kern w:val="0"/>
              </w:rPr>
              <w:t>條規定，</w:t>
            </w:r>
            <w:r w:rsidR="008624A7" w:rsidRPr="003223F9">
              <w:rPr>
                <w:rFonts w:eastAsia="標楷體"/>
                <w:color w:val="000000"/>
                <w:kern w:val="0"/>
              </w:rPr>
              <w:t xml:space="preserve"> </w:t>
            </w:r>
            <w:r w:rsidRPr="003223F9">
              <w:rPr>
                <w:rFonts w:eastAsia="標楷體"/>
                <w:color w:val="000000"/>
                <w:kern w:val="0"/>
              </w:rPr>
              <w:t>訂定本辦法。</w:t>
            </w:r>
          </w:p>
          <w:p w14:paraId="5EE4FE8F" w14:textId="77777777" w:rsidR="001C7D5D" w:rsidRPr="003223F9" w:rsidRDefault="001C7D5D" w:rsidP="00BB540C">
            <w:pPr>
              <w:spacing w:line="600" w:lineRule="exact"/>
              <w:jc w:val="both"/>
              <w:rPr>
                <w:rFonts w:eastAsia="標楷體" w:hint="eastAsia"/>
                <w:color w:val="000000"/>
                <w:kern w:val="0"/>
              </w:rPr>
            </w:pPr>
            <w:r w:rsidRPr="003223F9">
              <w:rPr>
                <w:rFonts w:eastAsia="標楷體"/>
                <w:color w:val="000000"/>
                <w:kern w:val="0"/>
              </w:rPr>
              <w:t>Kaohsi</w:t>
            </w:r>
            <w:r w:rsidR="00CF3D4E" w:rsidRPr="003223F9">
              <w:rPr>
                <w:rFonts w:eastAsia="標楷體"/>
                <w:color w:val="000000"/>
                <w:kern w:val="0"/>
              </w:rPr>
              <w:t>ung Medical University (KMU or “the University”</w:t>
            </w:r>
            <w:r w:rsidRPr="003223F9">
              <w:rPr>
                <w:rFonts w:eastAsia="標楷體"/>
                <w:color w:val="000000"/>
                <w:kern w:val="0"/>
              </w:rPr>
              <w:t>) formulates the KMU Regulations for Rewarding the Promoti</w:t>
            </w:r>
            <w:r w:rsidR="00CF3D4E" w:rsidRPr="003223F9">
              <w:rPr>
                <w:rFonts w:eastAsia="標楷體"/>
                <w:color w:val="000000"/>
                <w:kern w:val="0"/>
              </w:rPr>
              <w:t>on of Gender Equity Education (“the Regulations”</w:t>
            </w:r>
            <w:r w:rsidRPr="003223F9">
              <w:rPr>
                <w:rFonts w:eastAsia="標楷體"/>
                <w:color w:val="000000"/>
                <w:kern w:val="0"/>
              </w:rPr>
              <w:t>) in accordance with Article 13 of the KMU Regulations Governing the Implementation of Gender Equity Education to encourage faculty, staff, and students to actively participate in and promote gender equity education.</w:t>
            </w:r>
          </w:p>
        </w:tc>
      </w:tr>
      <w:tr w:rsidR="005B51B8" w:rsidRPr="003223F9" w14:paraId="206A4B1A" w14:textId="77777777" w:rsidTr="00BB540C">
        <w:trPr>
          <w:jc w:val="center"/>
        </w:trPr>
        <w:tc>
          <w:tcPr>
            <w:tcW w:w="1144" w:type="dxa"/>
          </w:tcPr>
          <w:p w14:paraId="213247C8" w14:textId="77777777" w:rsidR="005B51B8" w:rsidRPr="003223F9" w:rsidRDefault="005B51B8" w:rsidP="00BB540C">
            <w:pPr>
              <w:spacing w:line="600" w:lineRule="exact"/>
              <w:jc w:val="center"/>
              <w:rPr>
                <w:rFonts w:eastAsia="標楷體"/>
                <w:color w:val="000000"/>
                <w:kern w:val="0"/>
              </w:rPr>
            </w:pPr>
            <w:r w:rsidRPr="003223F9">
              <w:rPr>
                <w:rFonts w:eastAsia="標楷體"/>
                <w:color w:val="000000"/>
                <w:kern w:val="0"/>
              </w:rPr>
              <w:t>第二條</w:t>
            </w:r>
          </w:p>
          <w:p w14:paraId="20F87B7B" w14:textId="77777777" w:rsidR="00CF3D4E" w:rsidRPr="003223F9" w:rsidRDefault="00CF3D4E" w:rsidP="00BB540C">
            <w:pPr>
              <w:spacing w:line="600" w:lineRule="exact"/>
              <w:jc w:val="center"/>
              <w:rPr>
                <w:rFonts w:eastAsia="標楷體" w:hint="eastAsia"/>
                <w:color w:val="000000"/>
                <w:kern w:val="0"/>
              </w:rPr>
            </w:pPr>
            <w:r w:rsidRPr="003223F9">
              <w:rPr>
                <w:rFonts w:eastAsia="標楷體" w:hint="eastAsia"/>
                <w:color w:val="000000"/>
                <w:kern w:val="0"/>
              </w:rPr>
              <w:t>A</w:t>
            </w:r>
            <w:r w:rsidRPr="003223F9">
              <w:rPr>
                <w:rFonts w:eastAsia="標楷體"/>
                <w:color w:val="000000"/>
                <w:kern w:val="0"/>
              </w:rPr>
              <w:t>rticle 2</w:t>
            </w:r>
          </w:p>
        </w:tc>
        <w:tc>
          <w:tcPr>
            <w:tcW w:w="8657" w:type="dxa"/>
          </w:tcPr>
          <w:p w14:paraId="77A5DD85" w14:textId="77777777" w:rsidR="005B51B8" w:rsidRPr="003223F9" w:rsidRDefault="005B51B8" w:rsidP="00BB540C">
            <w:pPr>
              <w:spacing w:line="600" w:lineRule="exact"/>
              <w:jc w:val="both"/>
              <w:rPr>
                <w:rFonts w:eastAsia="標楷體"/>
                <w:color w:val="000000"/>
                <w:kern w:val="0"/>
              </w:rPr>
            </w:pPr>
            <w:r w:rsidRPr="003223F9">
              <w:rPr>
                <w:rFonts w:eastAsia="標楷體"/>
                <w:color w:val="000000"/>
                <w:kern w:val="0"/>
              </w:rPr>
              <w:t>本辦法適用對象為本校教職員工生或系所、單位、學生社團等。</w:t>
            </w:r>
          </w:p>
          <w:p w14:paraId="31302E3B" w14:textId="77777777" w:rsidR="00CF3D4E" w:rsidRPr="003223F9" w:rsidRDefault="00CF3D4E" w:rsidP="00BB540C">
            <w:pPr>
              <w:spacing w:line="600" w:lineRule="exact"/>
              <w:jc w:val="both"/>
              <w:rPr>
                <w:rFonts w:eastAsia="標楷體" w:hint="eastAsia"/>
                <w:color w:val="000000"/>
                <w:kern w:val="0"/>
              </w:rPr>
            </w:pPr>
            <w:r w:rsidRPr="003223F9">
              <w:rPr>
                <w:rFonts w:eastAsia="標楷體"/>
                <w:color w:val="000000"/>
                <w:kern w:val="0"/>
              </w:rPr>
              <w:t>The Regulations apply to faculty, staff, and students, as well as to departments, graduate institutes, units, and student clubs at the University.</w:t>
            </w:r>
          </w:p>
        </w:tc>
      </w:tr>
      <w:tr w:rsidR="005B51B8" w:rsidRPr="003223F9" w14:paraId="2516B3FD" w14:textId="77777777" w:rsidTr="00BB540C">
        <w:trPr>
          <w:jc w:val="center"/>
        </w:trPr>
        <w:tc>
          <w:tcPr>
            <w:tcW w:w="1144" w:type="dxa"/>
          </w:tcPr>
          <w:p w14:paraId="28CFEABB" w14:textId="77777777" w:rsidR="005B51B8" w:rsidRPr="003223F9" w:rsidRDefault="005B51B8" w:rsidP="00BB540C">
            <w:pPr>
              <w:spacing w:line="600" w:lineRule="exact"/>
              <w:jc w:val="center"/>
              <w:rPr>
                <w:rFonts w:eastAsia="標楷體"/>
                <w:color w:val="000000"/>
                <w:kern w:val="0"/>
              </w:rPr>
            </w:pPr>
            <w:r w:rsidRPr="003223F9">
              <w:rPr>
                <w:rFonts w:eastAsia="標楷體"/>
                <w:color w:val="000000"/>
                <w:kern w:val="0"/>
              </w:rPr>
              <w:t>第三條</w:t>
            </w:r>
          </w:p>
          <w:p w14:paraId="4B6CC9F2" w14:textId="77777777" w:rsidR="00CF3D4E" w:rsidRPr="003223F9" w:rsidRDefault="00CF3D4E" w:rsidP="00BB540C">
            <w:pPr>
              <w:spacing w:line="600" w:lineRule="exact"/>
              <w:jc w:val="center"/>
              <w:rPr>
                <w:rFonts w:eastAsia="標楷體" w:hint="eastAsia"/>
                <w:color w:val="000000"/>
                <w:kern w:val="0"/>
              </w:rPr>
            </w:pPr>
            <w:r w:rsidRPr="003223F9">
              <w:rPr>
                <w:rFonts w:eastAsia="標楷體" w:hint="eastAsia"/>
                <w:color w:val="000000"/>
                <w:kern w:val="0"/>
              </w:rPr>
              <w:t>A</w:t>
            </w:r>
            <w:r w:rsidRPr="003223F9">
              <w:rPr>
                <w:rFonts w:eastAsia="標楷體"/>
                <w:color w:val="000000"/>
                <w:kern w:val="0"/>
              </w:rPr>
              <w:t>rticle 3</w:t>
            </w:r>
          </w:p>
        </w:tc>
        <w:tc>
          <w:tcPr>
            <w:tcW w:w="8657" w:type="dxa"/>
          </w:tcPr>
          <w:p w14:paraId="278C23BB" w14:textId="77777777" w:rsidR="005B51B8" w:rsidRPr="003223F9" w:rsidRDefault="005B51B8" w:rsidP="00BB540C">
            <w:pPr>
              <w:spacing w:line="600" w:lineRule="exact"/>
              <w:jc w:val="both"/>
              <w:rPr>
                <w:rFonts w:eastAsia="標楷體"/>
                <w:color w:val="000000"/>
                <w:kern w:val="0"/>
              </w:rPr>
            </w:pPr>
            <w:r w:rsidRPr="003223F9">
              <w:rPr>
                <w:rFonts w:eastAsia="標楷體"/>
                <w:color w:val="000000"/>
                <w:kern w:val="0"/>
              </w:rPr>
              <w:t>凡於近兩年內，透過下列方式推動性別平等教育，有效提升性別地位之實質平等、消除性別歧視、維護人格尊嚴、厚植並建立性別平等之教育資源與環境者，得依本辦法予以獎勵：</w:t>
            </w:r>
          </w:p>
          <w:p w14:paraId="4643761B" w14:textId="77777777" w:rsidR="00CF3D4E" w:rsidRPr="003223F9" w:rsidRDefault="00D72F47" w:rsidP="00E8189B">
            <w:pPr>
              <w:spacing w:line="600" w:lineRule="exact"/>
              <w:jc w:val="both"/>
              <w:rPr>
                <w:rFonts w:eastAsia="標楷體" w:hint="eastAsia"/>
                <w:color w:val="000000"/>
                <w:kern w:val="0"/>
              </w:rPr>
            </w:pPr>
            <w:r w:rsidRPr="003223F9">
              <w:rPr>
                <w:rFonts w:eastAsia="標楷體"/>
                <w:color w:val="000000"/>
                <w:kern w:val="0"/>
              </w:rPr>
              <w:t xml:space="preserve">Those who have promoted gender equity education within the past two years through the following methods, thereby effectively </w:t>
            </w:r>
            <w:r w:rsidR="00E8189B" w:rsidRPr="003223F9">
              <w:rPr>
                <w:rFonts w:eastAsia="標楷體" w:hint="eastAsia"/>
                <w:color w:val="000000"/>
                <w:kern w:val="0"/>
              </w:rPr>
              <w:t>i</w:t>
            </w:r>
            <w:r w:rsidR="00E8189B" w:rsidRPr="003223F9">
              <w:rPr>
                <w:rFonts w:eastAsia="標楷體"/>
                <w:color w:val="000000"/>
                <w:kern w:val="0"/>
              </w:rPr>
              <w:t xml:space="preserve">mproving </w:t>
            </w:r>
            <w:r w:rsidRPr="003223F9">
              <w:rPr>
                <w:rFonts w:eastAsia="標楷體"/>
                <w:color w:val="000000"/>
                <w:kern w:val="0"/>
              </w:rPr>
              <w:t>the substantive eq</w:t>
            </w:r>
            <w:r w:rsidR="00E8189B" w:rsidRPr="003223F9">
              <w:rPr>
                <w:rFonts w:eastAsia="標楷體"/>
                <w:color w:val="000000"/>
                <w:kern w:val="0"/>
              </w:rPr>
              <w:t>uity of gender status, eliminating</w:t>
            </w:r>
            <w:r w:rsidRPr="003223F9">
              <w:rPr>
                <w:rFonts w:eastAsia="標楷體"/>
                <w:color w:val="000000"/>
                <w:kern w:val="0"/>
              </w:rPr>
              <w:t xml:space="preserve"> gender discrimination, uphold</w:t>
            </w:r>
            <w:r w:rsidR="00E8189B" w:rsidRPr="003223F9">
              <w:rPr>
                <w:rFonts w:eastAsia="標楷體"/>
                <w:color w:val="000000"/>
                <w:kern w:val="0"/>
              </w:rPr>
              <w:t>ing</w:t>
            </w:r>
            <w:r w:rsidRPr="003223F9">
              <w:rPr>
                <w:rFonts w:eastAsia="標楷體"/>
                <w:color w:val="000000"/>
                <w:kern w:val="0"/>
              </w:rPr>
              <w:t xml:space="preserve"> personal dignity, and </w:t>
            </w:r>
            <w:r w:rsidR="00E8189B" w:rsidRPr="003223F9">
              <w:rPr>
                <w:rFonts w:eastAsia="標楷體"/>
                <w:color w:val="000000"/>
                <w:kern w:val="0"/>
              </w:rPr>
              <w:t>formulating</w:t>
            </w:r>
            <w:r w:rsidRPr="003223F9">
              <w:rPr>
                <w:rFonts w:eastAsia="標楷體"/>
                <w:color w:val="000000"/>
                <w:kern w:val="0"/>
              </w:rPr>
              <w:t xml:space="preserve"> educational resources and environments for gender equity, may be rewarded in accordance with the Regulations:</w:t>
            </w:r>
          </w:p>
        </w:tc>
      </w:tr>
      <w:tr w:rsidR="005B51B8" w:rsidRPr="003223F9" w14:paraId="722DD2CB" w14:textId="77777777" w:rsidTr="00BB540C">
        <w:trPr>
          <w:jc w:val="center"/>
        </w:trPr>
        <w:tc>
          <w:tcPr>
            <w:tcW w:w="1144" w:type="dxa"/>
          </w:tcPr>
          <w:p w14:paraId="7303C401" w14:textId="77777777" w:rsidR="005B51B8" w:rsidRPr="003223F9" w:rsidRDefault="005B51B8" w:rsidP="00BB540C">
            <w:pPr>
              <w:spacing w:line="600" w:lineRule="exact"/>
              <w:jc w:val="center"/>
              <w:rPr>
                <w:rFonts w:eastAsia="標楷體"/>
                <w:color w:val="000000"/>
                <w:kern w:val="0"/>
              </w:rPr>
            </w:pPr>
          </w:p>
        </w:tc>
        <w:tc>
          <w:tcPr>
            <w:tcW w:w="8657" w:type="dxa"/>
          </w:tcPr>
          <w:p w14:paraId="7283450F" w14:textId="77777777" w:rsidR="005B51B8" w:rsidRPr="003223F9" w:rsidRDefault="005B51B8" w:rsidP="00BB540C">
            <w:pPr>
              <w:numPr>
                <w:ilvl w:val="0"/>
                <w:numId w:val="2"/>
              </w:numPr>
              <w:spacing w:line="600" w:lineRule="exact"/>
              <w:jc w:val="both"/>
              <w:rPr>
                <w:rFonts w:eastAsia="標楷體"/>
                <w:color w:val="000000"/>
                <w:kern w:val="0"/>
              </w:rPr>
            </w:pPr>
            <w:proofErr w:type="gramStart"/>
            <w:r w:rsidRPr="003223F9">
              <w:rPr>
                <w:rFonts w:eastAsia="標楷體"/>
                <w:color w:val="000000"/>
                <w:kern w:val="0"/>
              </w:rPr>
              <w:t>研</w:t>
            </w:r>
            <w:proofErr w:type="gramEnd"/>
            <w:r w:rsidRPr="003223F9">
              <w:rPr>
                <w:rFonts w:eastAsia="標楷體"/>
                <w:color w:val="000000"/>
                <w:kern w:val="0"/>
              </w:rPr>
              <w:t>擬本校性別平等教育政策、法規、計畫、提出興革意見、檢視或規劃無性別偏見、安全友善及公平分配之校園空間，並經本校性別平等教育委員會</w:t>
            </w:r>
            <w:r w:rsidRPr="003223F9">
              <w:rPr>
                <w:rFonts w:eastAsia="標楷體"/>
                <w:color w:val="000000"/>
                <w:kern w:val="0"/>
              </w:rPr>
              <w:t>(</w:t>
            </w:r>
            <w:r w:rsidRPr="003223F9">
              <w:rPr>
                <w:rFonts w:eastAsia="標楷體"/>
                <w:color w:val="000000"/>
                <w:kern w:val="0"/>
              </w:rPr>
              <w:t>以下簡稱性平會</w:t>
            </w:r>
            <w:r w:rsidRPr="003223F9">
              <w:rPr>
                <w:rFonts w:eastAsia="標楷體"/>
                <w:color w:val="000000"/>
                <w:kern w:val="0"/>
              </w:rPr>
              <w:t>)</w:t>
            </w:r>
            <w:r w:rsidRPr="003223F9">
              <w:rPr>
                <w:rFonts w:eastAsia="標楷體"/>
                <w:color w:val="000000"/>
                <w:kern w:val="0"/>
              </w:rPr>
              <w:t>討論，決議納入年度工作計畫執行有功者。</w:t>
            </w:r>
          </w:p>
          <w:p w14:paraId="30FD4377" w14:textId="77777777" w:rsidR="009660AC" w:rsidRPr="003223F9" w:rsidRDefault="009660AC" w:rsidP="009660AC">
            <w:pPr>
              <w:numPr>
                <w:ilvl w:val="0"/>
                <w:numId w:val="38"/>
              </w:numPr>
              <w:spacing w:line="600" w:lineRule="exact"/>
              <w:jc w:val="both"/>
              <w:rPr>
                <w:rFonts w:eastAsia="標楷體" w:hint="eastAsia"/>
                <w:color w:val="000000"/>
                <w:kern w:val="0"/>
              </w:rPr>
            </w:pPr>
            <w:r w:rsidRPr="003223F9">
              <w:rPr>
                <w:rFonts w:eastAsia="標楷體"/>
                <w:color w:val="000000"/>
                <w:kern w:val="0"/>
              </w:rPr>
              <w:t xml:space="preserve">Those who </w:t>
            </w:r>
            <w:r w:rsidR="002A5C5A" w:rsidRPr="003223F9">
              <w:rPr>
                <w:rFonts w:eastAsia="標楷體" w:hint="eastAsia"/>
                <w:color w:val="000000"/>
                <w:kern w:val="0"/>
              </w:rPr>
              <w:t>h</w:t>
            </w:r>
            <w:r w:rsidR="002A5C5A" w:rsidRPr="003223F9">
              <w:rPr>
                <w:rFonts w:eastAsia="標楷體"/>
                <w:color w:val="000000"/>
                <w:kern w:val="0"/>
              </w:rPr>
              <w:t xml:space="preserve">ave </w:t>
            </w:r>
            <w:r w:rsidRPr="003223F9">
              <w:rPr>
                <w:rFonts w:eastAsia="標楷體"/>
                <w:color w:val="000000"/>
                <w:kern w:val="0"/>
              </w:rPr>
              <w:t>draft</w:t>
            </w:r>
            <w:r w:rsidR="002A5C5A" w:rsidRPr="003223F9">
              <w:rPr>
                <w:rFonts w:eastAsia="標楷體"/>
                <w:color w:val="000000"/>
                <w:kern w:val="0"/>
              </w:rPr>
              <w:t>ed</w:t>
            </w:r>
            <w:r w:rsidRPr="003223F9">
              <w:rPr>
                <w:rFonts w:eastAsia="標楷體"/>
                <w:color w:val="000000"/>
                <w:kern w:val="0"/>
              </w:rPr>
              <w:t xml:space="preserve"> gender equity education policies, regulations, and plans for the University; propose</w:t>
            </w:r>
            <w:r w:rsidR="00D32634" w:rsidRPr="003223F9">
              <w:rPr>
                <w:rFonts w:eastAsia="標楷體"/>
                <w:color w:val="000000"/>
                <w:kern w:val="0"/>
              </w:rPr>
              <w:t>d</w:t>
            </w:r>
            <w:r w:rsidRPr="003223F9">
              <w:rPr>
                <w:rFonts w:eastAsia="標楷體"/>
                <w:color w:val="000000"/>
                <w:kern w:val="0"/>
              </w:rPr>
              <w:t xml:space="preserve"> reformative suggestions; and examine</w:t>
            </w:r>
            <w:r w:rsidR="00D32634" w:rsidRPr="003223F9">
              <w:rPr>
                <w:rFonts w:eastAsia="標楷體"/>
                <w:color w:val="000000"/>
                <w:kern w:val="0"/>
              </w:rPr>
              <w:t>d</w:t>
            </w:r>
            <w:r w:rsidRPr="003223F9">
              <w:rPr>
                <w:rFonts w:eastAsia="標楷體"/>
                <w:color w:val="000000"/>
                <w:kern w:val="0"/>
              </w:rPr>
              <w:t xml:space="preserve"> or plan</w:t>
            </w:r>
            <w:r w:rsidR="00D32634" w:rsidRPr="003223F9">
              <w:rPr>
                <w:rFonts w:eastAsia="標楷體"/>
                <w:color w:val="000000"/>
                <w:kern w:val="0"/>
              </w:rPr>
              <w:t>ned</w:t>
            </w:r>
            <w:r w:rsidRPr="003223F9">
              <w:rPr>
                <w:rFonts w:eastAsia="標楷體"/>
                <w:color w:val="000000"/>
                <w:kern w:val="0"/>
              </w:rPr>
              <w:t xml:space="preserve"> a campus environment that is safe, friendly, equitably distributed, and free from gender bias, and who have their contributions discussed</w:t>
            </w:r>
            <w:r w:rsidR="007710D9" w:rsidRPr="003223F9">
              <w:rPr>
                <w:rFonts w:eastAsia="標楷體"/>
                <w:color w:val="000000"/>
                <w:kern w:val="0"/>
              </w:rPr>
              <w:t xml:space="preserve"> and approved by the University’</w:t>
            </w:r>
            <w:r w:rsidRPr="003223F9">
              <w:rPr>
                <w:rFonts w:eastAsia="標楷體"/>
                <w:color w:val="000000"/>
                <w:kern w:val="0"/>
              </w:rPr>
              <w:t>s Gender Equity Education Committee (the Committee) for inclusion in the annual work plan.</w:t>
            </w:r>
          </w:p>
          <w:p w14:paraId="7F11FF2C" w14:textId="77777777" w:rsidR="005B51B8" w:rsidRPr="003223F9" w:rsidRDefault="005B51B8" w:rsidP="00BB540C">
            <w:pPr>
              <w:numPr>
                <w:ilvl w:val="0"/>
                <w:numId w:val="2"/>
              </w:numPr>
              <w:spacing w:line="600" w:lineRule="exact"/>
              <w:jc w:val="both"/>
              <w:rPr>
                <w:rFonts w:eastAsia="標楷體"/>
                <w:color w:val="000000"/>
                <w:kern w:val="0"/>
              </w:rPr>
            </w:pPr>
            <w:r w:rsidRPr="003223F9">
              <w:rPr>
                <w:rFonts w:eastAsia="標楷體"/>
                <w:color w:val="000000"/>
                <w:kern w:val="0"/>
              </w:rPr>
              <w:t>積極參與校內外校園性侵害或性騷擾事件調查知能研習活動，經教育部納入調查專業人才庫，並擔任校內外校園性侵害、性騷擾案件調查小組成員，協助調查、處置、防治工作有功者。</w:t>
            </w:r>
          </w:p>
          <w:p w14:paraId="70773E1B" w14:textId="77777777" w:rsidR="007710D9" w:rsidRPr="003223F9" w:rsidRDefault="008C0858" w:rsidP="008C0858">
            <w:pPr>
              <w:numPr>
                <w:ilvl w:val="0"/>
                <w:numId w:val="38"/>
              </w:numPr>
              <w:spacing w:line="600" w:lineRule="exact"/>
              <w:jc w:val="both"/>
              <w:rPr>
                <w:rFonts w:eastAsia="標楷體" w:hint="eastAsia"/>
                <w:color w:val="000000"/>
                <w:kern w:val="0"/>
              </w:rPr>
            </w:pPr>
            <w:r w:rsidRPr="003223F9">
              <w:rPr>
                <w:rFonts w:eastAsia="標楷體"/>
                <w:color w:val="000000"/>
                <w:kern w:val="0"/>
              </w:rPr>
              <w:t>Those who have made significant contributions by actively participating in on-campus or off-campus training workshops on investigation skills for campus sexual assault or harassment cases, being enlisted in the professional investigator talent pool by the Ministry of Education</w:t>
            </w:r>
            <w:r w:rsidR="002A5C5A" w:rsidRPr="003223F9">
              <w:rPr>
                <w:rFonts w:eastAsia="標楷體"/>
                <w:color w:val="000000"/>
                <w:kern w:val="0"/>
              </w:rPr>
              <w:t xml:space="preserve"> (MOE)</w:t>
            </w:r>
            <w:r w:rsidRPr="003223F9">
              <w:rPr>
                <w:rFonts w:eastAsia="標楷體"/>
                <w:color w:val="000000"/>
                <w:kern w:val="0"/>
              </w:rPr>
              <w:t>, and serving as members of on-campus or off-campus investigation teams for campus sexual assault or harassment cases to assist in investigation, management, and prevention.</w:t>
            </w:r>
          </w:p>
          <w:p w14:paraId="29968D38" w14:textId="77777777" w:rsidR="005B51B8" w:rsidRPr="003223F9" w:rsidRDefault="005B51B8" w:rsidP="00BB540C">
            <w:pPr>
              <w:numPr>
                <w:ilvl w:val="0"/>
                <w:numId w:val="2"/>
              </w:numPr>
              <w:spacing w:line="600" w:lineRule="exact"/>
              <w:jc w:val="both"/>
              <w:rPr>
                <w:rFonts w:eastAsia="標楷體"/>
                <w:color w:val="000000"/>
                <w:kern w:val="0"/>
              </w:rPr>
            </w:pPr>
            <w:r w:rsidRPr="003223F9">
              <w:rPr>
                <w:rFonts w:eastAsia="標楷體"/>
                <w:color w:val="000000"/>
                <w:kern w:val="0"/>
              </w:rPr>
              <w:t>從事或推動本校校園性侵害、性騷擾案件防治工作有功者。</w:t>
            </w:r>
          </w:p>
          <w:p w14:paraId="0FB4571E" w14:textId="77777777" w:rsidR="00732C26" w:rsidRPr="003223F9" w:rsidRDefault="008C0858" w:rsidP="008C0858">
            <w:pPr>
              <w:numPr>
                <w:ilvl w:val="0"/>
                <w:numId w:val="38"/>
              </w:numPr>
              <w:spacing w:line="600" w:lineRule="exact"/>
              <w:jc w:val="both"/>
              <w:rPr>
                <w:rFonts w:eastAsia="標楷體" w:hint="eastAsia"/>
                <w:color w:val="000000"/>
                <w:kern w:val="0"/>
              </w:rPr>
            </w:pPr>
            <w:r w:rsidRPr="003223F9">
              <w:rPr>
                <w:rFonts w:eastAsia="標楷體"/>
                <w:color w:val="000000"/>
                <w:kern w:val="0"/>
              </w:rPr>
              <w:t>Those who have made significant contributions by participating in or promoting the prevention of campus sexual assault and harassment at the University.</w:t>
            </w:r>
          </w:p>
          <w:p w14:paraId="147ECF1A" w14:textId="77777777" w:rsidR="005B51B8" w:rsidRPr="003223F9" w:rsidRDefault="005B51B8" w:rsidP="00BB540C">
            <w:pPr>
              <w:numPr>
                <w:ilvl w:val="0"/>
                <w:numId w:val="2"/>
              </w:numPr>
              <w:spacing w:line="600" w:lineRule="exact"/>
              <w:jc w:val="both"/>
              <w:rPr>
                <w:rFonts w:eastAsia="標楷體"/>
                <w:color w:val="000000"/>
                <w:kern w:val="0"/>
              </w:rPr>
            </w:pPr>
            <w:r w:rsidRPr="003223F9">
              <w:rPr>
                <w:rFonts w:eastAsia="標楷體"/>
                <w:color w:val="000000"/>
                <w:kern w:val="0"/>
              </w:rPr>
              <w:t>規劃或建立性別平等之安全校園空間有功者。</w:t>
            </w:r>
          </w:p>
          <w:p w14:paraId="5FDBCA92" w14:textId="77777777" w:rsidR="008C0858" w:rsidRPr="003223F9" w:rsidRDefault="00964408" w:rsidP="00964408">
            <w:pPr>
              <w:numPr>
                <w:ilvl w:val="0"/>
                <w:numId w:val="38"/>
              </w:numPr>
              <w:spacing w:line="600" w:lineRule="exact"/>
              <w:jc w:val="both"/>
              <w:rPr>
                <w:rFonts w:eastAsia="標楷體" w:hint="eastAsia"/>
                <w:color w:val="000000"/>
                <w:kern w:val="0"/>
              </w:rPr>
            </w:pPr>
            <w:r w:rsidRPr="003223F9">
              <w:rPr>
                <w:rFonts w:eastAsia="標楷體"/>
                <w:color w:val="000000"/>
                <w:kern w:val="0"/>
              </w:rPr>
              <w:t>Those who have made significant contributions by planning or establishing a safe campus environment for gender equity.</w:t>
            </w:r>
          </w:p>
          <w:p w14:paraId="0DF730BD" w14:textId="77777777" w:rsidR="005B51B8" w:rsidRPr="003223F9" w:rsidRDefault="005B51B8" w:rsidP="00BB540C">
            <w:pPr>
              <w:numPr>
                <w:ilvl w:val="0"/>
                <w:numId w:val="2"/>
              </w:numPr>
              <w:spacing w:line="600" w:lineRule="exact"/>
              <w:jc w:val="both"/>
              <w:rPr>
                <w:rFonts w:eastAsia="標楷體"/>
                <w:color w:val="000000"/>
                <w:kern w:val="0"/>
              </w:rPr>
            </w:pPr>
            <w:r w:rsidRPr="003223F9">
              <w:rPr>
                <w:rFonts w:eastAsia="標楷體"/>
                <w:color w:val="000000"/>
                <w:kern w:val="0"/>
              </w:rPr>
              <w:t>推動社區有關性別平等之家庭教育與社會教育有功者。</w:t>
            </w:r>
          </w:p>
          <w:p w14:paraId="5F157323" w14:textId="77777777" w:rsidR="00964408" w:rsidRPr="003223F9" w:rsidRDefault="00964408" w:rsidP="00964408">
            <w:pPr>
              <w:numPr>
                <w:ilvl w:val="0"/>
                <w:numId w:val="38"/>
              </w:numPr>
              <w:spacing w:line="600" w:lineRule="exact"/>
              <w:jc w:val="both"/>
              <w:rPr>
                <w:rFonts w:eastAsia="標楷體" w:hint="eastAsia"/>
                <w:color w:val="000000"/>
                <w:kern w:val="0"/>
              </w:rPr>
            </w:pPr>
            <w:r w:rsidRPr="003223F9">
              <w:rPr>
                <w:rFonts w:eastAsia="標楷體"/>
                <w:color w:val="000000"/>
                <w:kern w:val="0"/>
              </w:rPr>
              <w:t xml:space="preserve">Those who have made significant contributions by promoting family and social </w:t>
            </w:r>
            <w:r w:rsidRPr="003223F9">
              <w:rPr>
                <w:rFonts w:eastAsia="標楷體"/>
                <w:color w:val="000000"/>
                <w:kern w:val="0"/>
              </w:rPr>
              <w:lastRenderedPageBreak/>
              <w:t>education related to gender equity in communities.</w:t>
            </w:r>
          </w:p>
          <w:p w14:paraId="54EEF38F" w14:textId="77777777" w:rsidR="005B51B8" w:rsidRPr="003223F9" w:rsidRDefault="005B51B8" w:rsidP="00BB540C">
            <w:pPr>
              <w:numPr>
                <w:ilvl w:val="0"/>
                <w:numId w:val="2"/>
              </w:numPr>
              <w:spacing w:line="600" w:lineRule="exact"/>
              <w:jc w:val="both"/>
              <w:rPr>
                <w:rFonts w:eastAsia="標楷體"/>
                <w:color w:val="000000"/>
                <w:kern w:val="0"/>
              </w:rPr>
            </w:pPr>
            <w:r w:rsidRPr="003223F9">
              <w:rPr>
                <w:rFonts w:eastAsia="標楷體"/>
                <w:color w:val="000000"/>
                <w:kern w:val="0"/>
              </w:rPr>
              <w:t>教職員工生發揮性別平等精神，協助同儕性別平等互動行為足堪表率者。</w:t>
            </w:r>
          </w:p>
          <w:p w14:paraId="6E0299BA" w14:textId="77777777" w:rsidR="00964408" w:rsidRPr="003223F9" w:rsidRDefault="00964408" w:rsidP="00964408">
            <w:pPr>
              <w:numPr>
                <w:ilvl w:val="0"/>
                <w:numId w:val="38"/>
              </w:numPr>
              <w:spacing w:line="600" w:lineRule="exact"/>
              <w:jc w:val="both"/>
              <w:rPr>
                <w:rFonts w:eastAsia="標楷體" w:hint="eastAsia"/>
                <w:color w:val="000000"/>
                <w:kern w:val="0"/>
              </w:rPr>
            </w:pPr>
            <w:r w:rsidRPr="003223F9">
              <w:rPr>
                <w:rFonts w:eastAsia="標楷體"/>
                <w:color w:val="000000"/>
                <w:kern w:val="0"/>
              </w:rPr>
              <w:t xml:space="preserve">Faculty, staff, and students who have served as role models by embodying the spirit of gender equity and promoting </w:t>
            </w:r>
            <w:r w:rsidR="00116FEB" w:rsidRPr="003223F9">
              <w:rPr>
                <w:rFonts w:eastAsia="標楷體"/>
                <w:color w:val="000000"/>
                <w:kern w:val="0"/>
              </w:rPr>
              <w:t>equitable</w:t>
            </w:r>
            <w:r w:rsidRPr="003223F9">
              <w:rPr>
                <w:rFonts w:eastAsia="標楷體"/>
                <w:color w:val="000000"/>
                <w:kern w:val="0"/>
              </w:rPr>
              <w:t xml:space="preserve"> interactions among peers.</w:t>
            </w:r>
          </w:p>
          <w:p w14:paraId="74D05A2C" w14:textId="77777777" w:rsidR="005B51B8" w:rsidRPr="003223F9" w:rsidRDefault="005B51B8" w:rsidP="00BB540C">
            <w:pPr>
              <w:numPr>
                <w:ilvl w:val="0"/>
                <w:numId w:val="2"/>
              </w:numPr>
              <w:spacing w:line="600" w:lineRule="exact"/>
              <w:jc w:val="both"/>
              <w:rPr>
                <w:rFonts w:eastAsia="標楷體"/>
                <w:color w:val="000000"/>
                <w:kern w:val="0"/>
              </w:rPr>
            </w:pPr>
            <w:r w:rsidRPr="003223F9">
              <w:rPr>
                <w:rFonts w:eastAsia="標楷體"/>
                <w:color w:val="000000"/>
                <w:kern w:val="0"/>
              </w:rPr>
              <w:t>從事或參與下列有關性別教育、性別研究、同志教育、情感教育、性教育、多元文化等相關議題之作為：</w:t>
            </w:r>
          </w:p>
          <w:p w14:paraId="78202F82" w14:textId="77777777" w:rsidR="00390D83" w:rsidRPr="003223F9" w:rsidRDefault="00CD1CD2" w:rsidP="00CD1CD2">
            <w:pPr>
              <w:numPr>
                <w:ilvl w:val="0"/>
                <w:numId w:val="38"/>
              </w:numPr>
              <w:spacing w:line="600" w:lineRule="exact"/>
              <w:jc w:val="both"/>
              <w:rPr>
                <w:rFonts w:eastAsia="標楷體" w:hint="eastAsia"/>
                <w:color w:val="000000"/>
                <w:kern w:val="0"/>
              </w:rPr>
            </w:pPr>
            <w:r w:rsidRPr="003223F9">
              <w:rPr>
                <w:rFonts w:eastAsia="標楷體"/>
                <w:color w:val="000000"/>
                <w:kern w:val="0"/>
              </w:rPr>
              <w:t xml:space="preserve">Those who engage in or participate in any of the following activities related to issues such as gender education, gender research, LGBTQ+ education, </w:t>
            </w:r>
            <w:r w:rsidR="00E178E7" w:rsidRPr="003223F9">
              <w:rPr>
                <w:rFonts w:eastAsia="標楷體"/>
                <w:color w:val="000000"/>
                <w:kern w:val="0"/>
              </w:rPr>
              <w:t>affection</w:t>
            </w:r>
            <w:r w:rsidRPr="003223F9">
              <w:rPr>
                <w:rFonts w:eastAsia="標楷體"/>
                <w:color w:val="000000"/>
                <w:kern w:val="0"/>
              </w:rPr>
              <w:t xml:space="preserve"> education, sex education, and multiculturalism:</w:t>
            </w:r>
          </w:p>
          <w:p w14:paraId="05CB933A" w14:textId="77777777" w:rsidR="005B51B8" w:rsidRPr="003223F9" w:rsidRDefault="005B51B8" w:rsidP="00CD1CD2">
            <w:pPr>
              <w:numPr>
                <w:ilvl w:val="0"/>
                <w:numId w:val="39"/>
              </w:numPr>
              <w:spacing w:line="600" w:lineRule="exact"/>
              <w:jc w:val="both"/>
              <w:rPr>
                <w:rFonts w:eastAsia="標楷體"/>
                <w:color w:val="000000"/>
                <w:kern w:val="0"/>
              </w:rPr>
            </w:pPr>
            <w:r w:rsidRPr="003223F9">
              <w:rPr>
                <w:rFonts w:eastAsia="標楷體"/>
                <w:color w:val="000000"/>
                <w:kern w:val="0"/>
              </w:rPr>
              <w:t>研究計畫</w:t>
            </w:r>
            <w:proofErr w:type="gramStart"/>
            <w:r w:rsidRPr="003223F9">
              <w:rPr>
                <w:rFonts w:eastAsia="標楷體"/>
                <w:color w:val="000000"/>
                <w:kern w:val="0"/>
              </w:rPr>
              <w:t>—</w:t>
            </w:r>
            <w:proofErr w:type="gramEnd"/>
            <w:r w:rsidRPr="003223F9">
              <w:rPr>
                <w:rFonts w:eastAsia="標楷體"/>
                <w:color w:val="000000"/>
                <w:kern w:val="0"/>
              </w:rPr>
              <w:t>獲得國科會、教育部或其他政府機關補助者。</w:t>
            </w:r>
          </w:p>
          <w:p w14:paraId="6DDBDB6E" w14:textId="77777777" w:rsidR="00CD1CD2" w:rsidRPr="003223F9" w:rsidRDefault="00CD1CD2" w:rsidP="00500EB1">
            <w:pPr>
              <w:spacing w:line="600" w:lineRule="exact"/>
              <w:ind w:leftChars="275" w:left="1003" w:hangingChars="143" w:hanging="343"/>
              <w:jc w:val="both"/>
              <w:rPr>
                <w:rFonts w:eastAsia="標楷體" w:hint="eastAsia"/>
                <w:color w:val="000000"/>
                <w:kern w:val="0"/>
              </w:rPr>
            </w:pPr>
            <w:r w:rsidRPr="003223F9">
              <w:rPr>
                <w:rFonts w:eastAsia="標楷體"/>
                <w:color w:val="000000"/>
                <w:kern w:val="0"/>
              </w:rPr>
              <w:t xml:space="preserve">(1) </w:t>
            </w:r>
            <w:r w:rsidR="00500EB1" w:rsidRPr="003223F9">
              <w:rPr>
                <w:rFonts w:eastAsia="標楷體"/>
                <w:color w:val="000000"/>
                <w:kern w:val="0"/>
              </w:rPr>
              <w:t xml:space="preserve">Research: </w:t>
            </w:r>
            <w:r w:rsidRPr="003223F9">
              <w:rPr>
                <w:rFonts w:eastAsia="標楷體"/>
                <w:color w:val="000000"/>
                <w:kern w:val="0"/>
              </w:rPr>
              <w:t>Research projects</w:t>
            </w:r>
            <w:r w:rsidR="00500EB1" w:rsidRPr="003223F9">
              <w:rPr>
                <w:rFonts w:eastAsia="標楷體"/>
                <w:color w:val="000000"/>
                <w:kern w:val="0"/>
              </w:rPr>
              <w:t xml:space="preserve"> that </w:t>
            </w:r>
            <w:r w:rsidRPr="003223F9">
              <w:rPr>
                <w:rFonts w:eastAsia="標楷體"/>
                <w:color w:val="000000"/>
                <w:kern w:val="0"/>
              </w:rPr>
              <w:t xml:space="preserve">receive subsidies from the National Science Council, </w:t>
            </w:r>
            <w:r w:rsidR="0061382B" w:rsidRPr="003223F9">
              <w:rPr>
                <w:rFonts w:eastAsia="標楷體"/>
                <w:color w:val="000000"/>
                <w:kern w:val="0"/>
              </w:rPr>
              <w:t>the Ministry of Education</w:t>
            </w:r>
            <w:r w:rsidRPr="003223F9">
              <w:rPr>
                <w:rFonts w:eastAsia="標楷體"/>
                <w:color w:val="000000"/>
                <w:kern w:val="0"/>
              </w:rPr>
              <w:t>, or other government agencies.</w:t>
            </w:r>
          </w:p>
          <w:p w14:paraId="267DF01E" w14:textId="77777777" w:rsidR="005B51B8" w:rsidRPr="003223F9" w:rsidRDefault="005B51B8" w:rsidP="00BB540C">
            <w:pPr>
              <w:spacing w:line="600" w:lineRule="exact"/>
              <w:ind w:leftChars="278" w:left="1387" w:hangingChars="300" w:hanging="720"/>
              <w:jc w:val="both"/>
              <w:rPr>
                <w:rFonts w:eastAsia="標楷體"/>
                <w:color w:val="000000"/>
                <w:kern w:val="0"/>
              </w:rPr>
            </w:pPr>
            <w:r w:rsidRPr="003223F9">
              <w:rPr>
                <w:rFonts w:eastAsia="標楷體"/>
                <w:color w:val="000000"/>
                <w:kern w:val="0"/>
              </w:rPr>
              <w:t>（二）研究論文</w:t>
            </w:r>
            <w:proofErr w:type="gramStart"/>
            <w:r w:rsidRPr="003223F9">
              <w:rPr>
                <w:rFonts w:eastAsia="標楷體"/>
                <w:color w:val="000000"/>
                <w:kern w:val="0"/>
              </w:rPr>
              <w:t>—</w:t>
            </w:r>
            <w:proofErr w:type="gramEnd"/>
            <w:r w:rsidRPr="003223F9">
              <w:rPr>
                <w:rFonts w:eastAsia="標楷體"/>
                <w:color w:val="000000"/>
                <w:kern w:val="0"/>
              </w:rPr>
              <w:t>成果發表於有審查制度之優良期刊者。</w:t>
            </w:r>
          </w:p>
          <w:p w14:paraId="48716AC4" w14:textId="77777777" w:rsidR="007B564D" w:rsidRPr="003223F9" w:rsidRDefault="007B564D" w:rsidP="00500EB1">
            <w:pPr>
              <w:spacing w:line="600" w:lineRule="exact"/>
              <w:ind w:leftChars="277" w:left="1003" w:hangingChars="141" w:hanging="338"/>
              <w:jc w:val="both"/>
              <w:rPr>
                <w:rFonts w:eastAsia="標楷體" w:hint="eastAsia"/>
                <w:color w:val="000000"/>
                <w:kern w:val="0"/>
              </w:rPr>
            </w:pPr>
            <w:r w:rsidRPr="003223F9">
              <w:rPr>
                <w:rFonts w:eastAsia="標楷體" w:hint="eastAsia"/>
                <w:color w:val="000000"/>
                <w:kern w:val="0"/>
              </w:rPr>
              <w:t>(</w:t>
            </w:r>
            <w:r w:rsidRPr="003223F9">
              <w:rPr>
                <w:rFonts w:eastAsia="標楷體"/>
                <w:color w:val="000000"/>
                <w:kern w:val="0"/>
              </w:rPr>
              <w:t xml:space="preserve">2) </w:t>
            </w:r>
            <w:r w:rsidR="00500EB1" w:rsidRPr="003223F9">
              <w:rPr>
                <w:rFonts w:eastAsia="標楷體"/>
                <w:color w:val="000000"/>
                <w:kern w:val="0"/>
              </w:rPr>
              <w:t>Research: Research papers</w:t>
            </w:r>
            <w:r w:rsidR="00500EB1" w:rsidRPr="003223F9">
              <w:rPr>
                <w:rFonts w:eastAsia="標楷體" w:hint="eastAsia"/>
                <w:color w:val="000000"/>
                <w:kern w:val="0"/>
              </w:rPr>
              <w:t xml:space="preserve"> </w:t>
            </w:r>
            <w:r w:rsidR="00500EB1" w:rsidRPr="003223F9">
              <w:rPr>
                <w:rFonts w:eastAsia="標楷體"/>
                <w:color w:val="000000"/>
                <w:kern w:val="0"/>
              </w:rPr>
              <w:t>that are published in distinguished journals with a review mechanism.</w:t>
            </w:r>
          </w:p>
          <w:p w14:paraId="4219C010" w14:textId="77777777" w:rsidR="005B51B8" w:rsidRPr="003223F9" w:rsidRDefault="005B51B8" w:rsidP="00BB540C">
            <w:pPr>
              <w:spacing w:line="600" w:lineRule="exact"/>
              <w:ind w:leftChars="278" w:left="1387" w:hangingChars="300" w:hanging="720"/>
              <w:jc w:val="both"/>
              <w:rPr>
                <w:rFonts w:eastAsia="標楷體"/>
                <w:color w:val="000000"/>
                <w:kern w:val="0"/>
              </w:rPr>
            </w:pPr>
            <w:r w:rsidRPr="003223F9">
              <w:rPr>
                <w:rFonts w:eastAsia="標楷體"/>
                <w:color w:val="000000"/>
                <w:kern w:val="0"/>
              </w:rPr>
              <w:t>（三）教學</w:t>
            </w:r>
            <w:proofErr w:type="gramStart"/>
            <w:r w:rsidRPr="003223F9">
              <w:rPr>
                <w:rFonts w:eastAsia="標楷體"/>
                <w:color w:val="000000"/>
                <w:kern w:val="0"/>
              </w:rPr>
              <w:t>—</w:t>
            </w:r>
            <w:proofErr w:type="gramEnd"/>
            <w:r w:rsidRPr="003223F9">
              <w:rPr>
                <w:rFonts w:eastAsia="標楷體"/>
                <w:color w:val="000000"/>
                <w:kern w:val="0"/>
              </w:rPr>
              <w:t>經教務處推薦性別相關課程教學評量成績在</w:t>
            </w:r>
            <w:r w:rsidRPr="003223F9">
              <w:rPr>
                <w:rFonts w:eastAsia="標楷體"/>
                <w:color w:val="000000"/>
                <w:kern w:val="0"/>
              </w:rPr>
              <w:t>4.0</w:t>
            </w:r>
            <w:r w:rsidRPr="003223F9">
              <w:rPr>
                <w:rFonts w:eastAsia="標楷體"/>
                <w:color w:val="000000"/>
                <w:kern w:val="0"/>
              </w:rPr>
              <w:t>以上者。</w:t>
            </w:r>
          </w:p>
          <w:p w14:paraId="70E9FE00" w14:textId="77777777" w:rsidR="00500EB1" w:rsidRPr="003223F9" w:rsidRDefault="00500EB1" w:rsidP="00BD5C70">
            <w:pPr>
              <w:spacing w:line="600" w:lineRule="exact"/>
              <w:ind w:leftChars="276" w:left="1041" w:hangingChars="158" w:hanging="379"/>
              <w:jc w:val="both"/>
              <w:rPr>
                <w:rFonts w:eastAsia="標楷體" w:hint="eastAsia"/>
                <w:color w:val="000000"/>
                <w:kern w:val="0"/>
              </w:rPr>
            </w:pPr>
            <w:r w:rsidRPr="003223F9">
              <w:rPr>
                <w:rFonts w:eastAsia="標楷體" w:hint="eastAsia"/>
                <w:color w:val="000000"/>
                <w:kern w:val="0"/>
              </w:rPr>
              <w:t>(</w:t>
            </w:r>
            <w:r w:rsidRPr="003223F9">
              <w:rPr>
                <w:rFonts w:eastAsia="標楷體"/>
                <w:color w:val="000000"/>
                <w:kern w:val="0"/>
              </w:rPr>
              <w:t xml:space="preserve">3) </w:t>
            </w:r>
            <w:r w:rsidR="002A0A2C" w:rsidRPr="003223F9">
              <w:rPr>
                <w:rFonts w:eastAsia="標楷體"/>
                <w:color w:val="000000"/>
                <w:kern w:val="0"/>
              </w:rPr>
              <w:t>Teaching: Gender-related courses recommended by the Office of Academic Affairs and achieve teaching evaluation scores of 4.0 or above.</w:t>
            </w:r>
          </w:p>
          <w:p w14:paraId="5BC23E2F" w14:textId="77777777" w:rsidR="005B51B8" w:rsidRPr="003223F9" w:rsidRDefault="005B51B8" w:rsidP="00BB540C">
            <w:pPr>
              <w:spacing w:line="600" w:lineRule="exact"/>
              <w:ind w:leftChars="278" w:left="1387" w:hangingChars="300" w:hanging="720"/>
              <w:jc w:val="both"/>
              <w:rPr>
                <w:rFonts w:eastAsia="標楷體"/>
                <w:color w:val="000000"/>
                <w:kern w:val="0"/>
              </w:rPr>
            </w:pPr>
            <w:r w:rsidRPr="003223F9">
              <w:rPr>
                <w:rFonts w:eastAsia="標楷體"/>
                <w:color w:val="000000"/>
                <w:kern w:val="0"/>
              </w:rPr>
              <w:t>（四）教材研發</w:t>
            </w:r>
            <w:proofErr w:type="gramStart"/>
            <w:r w:rsidRPr="003223F9">
              <w:rPr>
                <w:rFonts w:eastAsia="標楷體"/>
                <w:color w:val="000000"/>
                <w:kern w:val="0"/>
              </w:rPr>
              <w:t>—</w:t>
            </w:r>
            <w:proofErr w:type="gramEnd"/>
            <w:r w:rsidRPr="003223F9">
              <w:rPr>
                <w:rFonts w:eastAsia="標楷體"/>
                <w:color w:val="000000"/>
                <w:kern w:val="0"/>
              </w:rPr>
              <w:t>經教師發展暨教學資源中心推薦之優良教材。</w:t>
            </w:r>
          </w:p>
          <w:p w14:paraId="45D87866" w14:textId="77777777" w:rsidR="00BD5C70" w:rsidRPr="003223F9" w:rsidRDefault="00BD5C70" w:rsidP="001F4089">
            <w:pPr>
              <w:spacing w:line="600" w:lineRule="exact"/>
              <w:ind w:leftChars="275" w:left="1030" w:hangingChars="154" w:hanging="370"/>
              <w:jc w:val="both"/>
              <w:rPr>
                <w:rFonts w:eastAsia="標楷體" w:hint="eastAsia"/>
                <w:color w:val="000000"/>
                <w:kern w:val="0"/>
              </w:rPr>
            </w:pPr>
            <w:r w:rsidRPr="003223F9">
              <w:rPr>
                <w:rFonts w:eastAsia="標楷體" w:hint="eastAsia"/>
                <w:color w:val="000000"/>
                <w:kern w:val="0"/>
              </w:rPr>
              <w:t>(</w:t>
            </w:r>
            <w:r w:rsidRPr="003223F9">
              <w:rPr>
                <w:rFonts w:eastAsia="標楷體"/>
                <w:color w:val="000000"/>
                <w:kern w:val="0"/>
              </w:rPr>
              <w:t xml:space="preserve">4) </w:t>
            </w:r>
            <w:r w:rsidR="001F4089" w:rsidRPr="003223F9">
              <w:rPr>
                <w:rFonts w:eastAsia="標楷體"/>
                <w:color w:val="000000"/>
                <w:kern w:val="0"/>
              </w:rPr>
              <w:t xml:space="preserve">Teaching material development: Teaching materials </w:t>
            </w:r>
            <w:r w:rsidR="00F375F0" w:rsidRPr="003223F9">
              <w:rPr>
                <w:rFonts w:eastAsia="標楷體"/>
                <w:color w:val="000000"/>
                <w:kern w:val="0"/>
              </w:rPr>
              <w:t>recognized as outstanding</w:t>
            </w:r>
            <w:r w:rsidR="001F4089" w:rsidRPr="003223F9">
              <w:rPr>
                <w:rFonts w:eastAsia="標楷體"/>
                <w:color w:val="000000"/>
                <w:kern w:val="0"/>
              </w:rPr>
              <w:t xml:space="preserve"> by the Center for Teacher Development and Teaching Resources.</w:t>
            </w:r>
          </w:p>
          <w:p w14:paraId="1C8FCD67" w14:textId="77777777" w:rsidR="005B51B8" w:rsidRPr="003223F9" w:rsidRDefault="005B51B8" w:rsidP="00BB540C">
            <w:pPr>
              <w:spacing w:line="600" w:lineRule="exact"/>
              <w:ind w:leftChars="278" w:left="1387" w:hangingChars="300" w:hanging="720"/>
              <w:jc w:val="both"/>
              <w:rPr>
                <w:rFonts w:eastAsia="標楷體"/>
                <w:color w:val="000000"/>
                <w:kern w:val="0"/>
              </w:rPr>
            </w:pPr>
            <w:r w:rsidRPr="003223F9">
              <w:rPr>
                <w:rFonts w:eastAsia="標楷體"/>
                <w:color w:val="000000"/>
                <w:kern w:val="0"/>
              </w:rPr>
              <w:t>（五）社團發展</w:t>
            </w:r>
            <w:proofErr w:type="gramStart"/>
            <w:r w:rsidRPr="003223F9">
              <w:rPr>
                <w:rFonts w:eastAsia="標楷體"/>
                <w:color w:val="000000"/>
                <w:kern w:val="0"/>
              </w:rPr>
              <w:t>—</w:t>
            </w:r>
            <w:proofErr w:type="gramEnd"/>
            <w:r w:rsidRPr="003223F9">
              <w:rPr>
                <w:rFonts w:eastAsia="標楷體"/>
                <w:color w:val="000000"/>
                <w:kern w:val="0"/>
              </w:rPr>
              <w:t>經學務處推薦為績優社團者。</w:t>
            </w:r>
          </w:p>
          <w:p w14:paraId="53C7B4EB" w14:textId="77777777" w:rsidR="001F4089" w:rsidRPr="003223F9" w:rsidRDefault="001F4089" w:rsidP="00BA15A3">
            <w:pPr>
              <w:spacing w:line="600" w:lineRule="exact"/>
              <w:ind w:leftChars="276" w:left="1070" w:hangingChars="170" w:hanging="408"/>
              <w:jc w:val="both"/>
              <w:rPr>
                <w:rFonts w:eastAsia="標楷體" w:hint="eastAsia"/>
                <w:color w:val="000000"/>
                <w:kern w:val="0"/>
              </w:rPr>
            </w:pPr>
            <w:r w:rsidRPr="003223F9">
              <w:rPr>
                <w:rFonts w:eastAsia="標楷體" w:hint="eastAsia"/>
                <w:color w:val="000000"/>
                <w:kern w:val="0"/>
              </w:rPr>
              <w:t>(</w:t>
            </w:r>
            <w:r w:rsidRPr="003223F9">
              <w:rPr>
                <w:rFonts w:eastAsia="標楷體"/>
                <w:color w:val="000000"/>
                <w:kern w:val="0"/>
              </w:rPr>
              <w:t xml:space="preserve">5) </w:t>
            </w:r>
            <w:r w:rsidR="00BA15A3" w:rsidRPr="003223F9">
              <w:rPr>
                <w:rFonts w:eastAsia="標楷體"/>
                <w:color w:val="000000"/>
                <w:kern w:val="0"/>
              </w:rPr>
              <w:t xml:space="preserve">Student club development: Student clubs </w:t>
            </w:r>
            <w:r w:rsidR="00A524B2" w:rsidRPr="003223F9">
              <w:rPr>
                <w:rFonts w:eastAsia="標楷體" w:hint="eastAsia"/>
                <w:color w:val="000000"/>
                <w:kern w:val="0"/>
              </w:rPr>
              <w:t>r</w:t>
            </w:r>
            <w:r w:rsidR="00A524B2" w:rsidRPr="003223F9">
              <w:rPr>
                <w:rFonts w:eastAsia="標楷體"/>
                <w:color w:val="000000"/>
                <w:kern w:val="0"/>
              </w:rPr>
              <w:t xml:space="preserve">ecognized as outstanding </w:t>
            </w:r>
            <w:r w:rsidR="00BA15A3" w:rsidRPr="003223F9">
              <w:rPr>
                <w:rFonts w:eastAsia="標楷體"/>
                <w:color w:val="000000"/>
                <w:kern w:val="0"/>
              </w:rPr>
              <w:t>by the Office of Student Affairs.</w:t>
            </w:r>
          </w:p>
          <w:p w14:paraId="2F7486AB" w14:textId="77777777" w:rsidR="005B51B8" w:rsidRPr="003223F9" w:rsidRDefault="005B51B8" w:rsidP="00BB540C">
            <w:pPr>
              <w:numPr>
                <w:ilvl w:val="0"/>
                <w:numId w:val="2"/>
              </w:numPr>
              <w:spacing w:line="600" w:lineRule="exact"/>
              <w:jc w:val="both"/>
              <w:rPr>
                <w:rFonts w:eastAsia="標楷體"/>
                <w:color w:val="000000"/>
                <w:kern w:val="0"/>
              </w:rPr>
            </w:pPr>
            <w:r w:rsidRPr="003223F9">
              <w:rPr>
                <w:rFonts w:eastAsia="標楷體"/>
                <w:color w:val="000000"/>
                <w:kern w:val="0"/>
              </w:rPr>
              <w:t>其他推動或積極配合性別平等教育實務工作，或執行友善校園之環境推展與</w:t>
            </w:r>
            <w:r w:rsidRPr="003223F9">
              <w:rPr>
                <w:rFonts w:eastAsia="標楷體"/>
                <w:color w:val="000000"/>
                <w:kern w:val="0"/>
              </w:rPr>
              <w:lastRenderedPageBreak/>
              <w:t>維護，並有具體成效者。</w:t>
            </w:r>
          </w:p>
          <w:p w14:paraId="245F2C28" w14:textId="77777777" w:rsidR="00BA15A3" w:rsidRPr="003223F9" w:rsidRDefault="00BA15A3" w:rsidP="00BA15A3">
            <w:pPr>
              <w:numPr>
                <w:ilvl w:val="0"/>
                <w:numId w:val="38"/>
              </w:numPr>
              <w:spacing w:line="600" w:lineRule="exact"/>
              <w:jc w:val="both"/>
              <w:rPr>
                <w:rFonts w:eastAsia="標楷體" w:hint="eastAsia"/>
                <w:color w:val="000000"/>
                <w:kern w:val="0"/>
              </w:rPr>
            </w:pPr>
            <w:r w:rsidRPr="003223F9">
              <w:rPr>
                <w:rFonts w:eastAsia="標楷體"/>
                <w:color w:val="000000"/>
                <w:kern w:val="0"/>
              </w:rPr>
              <w:t>Those who have made concrete achievements by promoting or actively participating in gender equity education practices, as well as implementing and maintaining a friendly campus environment.</w:t>
            </w:r>
          </w:p>
        </w:tc>
      </w:tr>
      <w:tr w:rsidR="005B51B8" w:rsidRPr="003223F9" w14:paraId="443A281F" w14:textId="77777777" w:rsidTr="00BB540C">
        <w:trPr>
          <w:jc w:val="center"/>
        </w:trPr>
        <w:tc>
          <w:tcPr>
            <w:tcW w:w="1144" w:type="dxa"/>
          </w:tcPr>
          <w:p w14:paraId="62FCB4E6" w14:textId="77777777" w:rsidR="005B51B8" w:rsidRPr="003223F9" w:rsidRDefault="005B51B8" w:rsidP="00BB540C">
            <w:pPr>
              <w:spacing w:line="600" w:lineRule="exact"/>
              <w:jc w:val="center"/>
              <w:rPr>
                <w:rFonts w:eastAsia="標楷體"/>
                <w:color w:val="000000"/>
                <w:kern w:val="0"/>
              </w:rPr>
            </w:pPr>
            <w:r w:rsidRPr="003223F9">
              <w:rPr>
                <w:rFonts w:eastAsia="標楷體"/>
                <w:color w:val="000000"/>
                <w:kern w:val="0"/>
              </w:rPr>
              <w:lastRenderedPageBreak/>
              <w:t>第四條</w:t>
            </w:r>
          </w:p>
          <w:p w14:paraId="13B4BED6" w14:textId="77777777" w:rsidR="00BA15A3" w:rsidRPr="003223F9" w:rsidRDefault="00BA15A3" w:rsidP="00BB540C">
            <w:pPr>
              <w:spacing w:line="600" w:lineRule="exact"/>
              <w:jc w:val="center"/>
              <w:rPr>
                <w:rFonts w:eastAsia="標楷體" w:hint="eastAsia"/>
                <w:color w:val="000000"/>
                <w:kern w:val="0"/>
              </w:rPr>
            </w:pPr>
            <w:r w:rsidRPr="003223F9">
              <w:rPr>
                <w:rFonts w:eastAsia="標楷體" w:hint="eastAsia"/>
                <w:color w:val="000000"/>
                <w:kern w:val="0"/>
              </w:rPr>
              <w:t>A</w:t>
            </w:r>
            <w:r w:rsidRPr="003223F9">
              <w:rPr>
                <w:rFonts w:eastAsia="標楷體"/>
                <w:color w:val="000000"/>
                <w:kern w:val="0"/>
              </w:rPr>
              <w:t>rticle 4</w:t>
            </w:r>
          </w:p>
        </w:tc>
        <w:tc>
          <w:tcPr>
            <w:tcW w:w="8657" w:type="dxa"/>
          </w:tcPr>
          <w:p w14:paraId="1809E512" w14:textId="77777777" w:rsidR="005B51B8" w:rsidRPr="003223F9" w:rsidRDefault="005B51B8" w:rsidP="00BB540C">
            <w:pPr>
              <w:spacing w:line="600" w:lineRule="exact"/>
              <w:jc w:val="both"/>
              <w:rPr>
                <w:rFonts w:eastAsia="標楷體"/>
                <w:color w:val="000000"/>
                <w:kern w:val="0"/>
              </w:rPr>
            </w:pPr>
            <w:r w:rsidRPr="003223F9">
              <w:rPr>
                <w:rFonts w:eastAsia="標楷體"/>
                <w:color w:val="000000"/>
                <w:kern w:val="0"/>
              </w:rPr>
              <w:t>符合本辦法獎勵條件之人員、系所、單位、學生社團等，可自我推薦或由各系所、單位或學生社團等推薦之。</w:t>
            </w:r>
          </w:p>
          <w:p w14:paraId="4EA5A866" w14:textId="77777777" w:rsidR="00BA15A3" w:rsidRPr="003223F9" w:rsidRDefault="00BA15A3" w:rsidP="002A5C5A">
            <w:pPr>
              <w:spacing w:line="600" w:lineRule="exact"/>
              <w:jc w:val="both"/>
              <w:rPr>
                <w:rFonts w:eastAsia="標楷體" w:hint="eastAsia"/>
                <w:color w:val="000000"/>
                <w:kern w:val="0"/>
              </w:rPr>
            </w:pPr>
            <w:r w:rsidRPr="003223F9">
              <w:rPr>
                <w:rFonts w:eastAsia="標楷體"/>
                <w:color w:val="000000"/>
                <w:kern w:val="0"/>
              </w:rPr>
              <w:t>Individuals, departments, graduate institutes, units, and student clubs that meet the conditions of the Regulations may either self-</w:t>
            </w:r>
            <w:r w:rsidR="002A5C5A" w:rsidRPr="003223F9">
              <w:rPr>
                <w:rFonts w:eastAsia="標楷體"/>
                <w:color w:val="000000"/>
                <w:kern w:val="0"/>
              </w:rPr>
              <w:t>recommend</w:t>
            </w:r>
            <w:r w:rsidRPr="003223F9">
              <w:rPr>
                <w:rFonts w:eastAsia="標楷體"/>
                <w:color w:val="000000"/>
                <w:kern w:val="0"/>
              </w:rPr>
              <w:t xml:space="preserve"> or be </w:t>
            </w:r>
            <w:r w:rsidR="002A5C5A" w:rsidRPr="003223F9">
              <w:rPr>
                <w:rFonts w:eastAsia="標楷體"/>
                <w:color w:val="000000"/>
                <w:kern w:val="0"/>
              </w:rPr>
              <w:t>recommended</w:t>
            </w:r>
            <w:r w:rsidRPr="003223F9">
              <w:rPr>
                <w:rFonts w:eastAsia="標楷體"/>
                <w:color w:val="000000"/>
                <w:kern w:val="0"/>
              </w:rPr>
              <w:t xml:space="preserve"> by their respective departments, graduate institutes, units, or student clubs for the reward.</w:t>
            </w:r>
          </w:p>
        </w:tc>
      </w:tr>
      <w:tr w:rsidR="005B51B8" w:rsidRPr="003223F9" w14:paraId="14942B79" w14:textId="77777777" w:rsidTr="00BB540C">
        <w:trPr>
          <w:jc w:val="center"/>
        </w:trPr>
        <w:tc>
          <w:tcPr>
            <w:tcW w:w="1144" w:type="dxa"/>
          </w:tcPr>
          <w:p w14:paraId="062209A7" w14:textId="77777777" w:rsidR="005B51B8" w:rsidRPr="003223F9" w:rsidRDefault="005B51B8" w:rsidP="00BB540C">
            <w:pPr>
              <w:spacing w:line="600" w:lineRule="exact"/>
              <w:jc w:val="center"/>
              <w:rPr>
                <w:rFonts w:eastAsia="標楷體"/>
                <w:color w:val="000000"/>
                <w:kern w:val="0"/>
              </w:rPr>
            </w:pPr>
            <w:r w:rsidRPr="003223F9">
              <w:rPr>
                <w:rFonts w:eastAsia="標楷體"/>
                <w:color w:val="000000"/>
                <w:kern w:val="0"/>
              </w:rPr>
              <w:t>第五條</w:t>
            </w:r>
          </w:p>
          <w:p w14:paraId="62D8FDB8" w14:textId="77777777" w:rsidR="00BA15A3" w:rsidRPr="003223F9" w:rsidRDefault="00BA15A3" w:rsidP="00BB540C">
            <w:pPr>
              <w:spacing w:line="600" w:lineRule="exact"/>
              <w:jc w:val="center"/>
              <w:rPr>
                <w:rFonts w:eastAsia="標楷體" w:hint="eastAsia"/>
                <w:color w:val="000000"/>
                <w:kern w:val="0"/>
              </w:rPr>
            </w:pPr>
            <w:r w:rsidRPr="003223F9">
              <w:rPr>
                <w:rFonts w:eastAsia="標楷體" w:hint="eastAsia"/>
                <w:color w:val="000000"/>
                <w:kern w:val="0"/>
              </w:rPr>
              <w:t>A</w:t>
            </w:r>
            <w:r w:rsidRPr="003223F9">
              <w:rPr>
                <w:rFonts w:eastAsia="標楷體"/>
                <w:color w:val="000000"/>
                <w:kern w:val="0"/>
              </w:rPr>
              <w:t>rticle 5</w:t>
            </w:r>
          </w:p>
        </w:tc>
        <w:tc>
          <w:tcPr>
            <w:tcW w:w="8657" w:type="dxa"/>
          </w:tcPr>
          <w:p w14:paraId="398A6292" w14:textId="77777777" w:rsidR="005B51B8" w:rsidRPr="003223F9" w:rsidRDefault="005B51B8" w:rsidP="00BB540C">
            <w:pPr>
              <w:spacing w:line="600" w:lineRule="exact"/>
              <w:jc w:val="both"/>
              <w:rPr>
                <w:rFonts w:eastAsia="標楷體"/>
                <w:color w:val="000000"/>
                <w:kern w:val="0"/>
              </w:rPr>
            </w:pPr>
            <w:r w:rsidRPr="003223F9">
              <w:rPr>
                <w:rFonts w:eastAsia="標楷體"/>
                <w:color w:val="000000"/>
                <w:kern w:val="0"/>
              </w:rPr>
              <w:t>獎勵案之申請，應填具推薦表，並備妥相關佐證資料，於本校性別平等教育委員會</w:t>
            </w:r>
            <w:r w:rsidRPr="003223F9">
              <w:rPr>
                <w:rFonts w:eastAsia="標楷體"/>
                <w:color w:val="000000"/>
                <w:kern w:val="0"/>
              </w:rPr>
              <w:t>(</w:t>
            </w:r>
            <w:r w:rsidRPr="003223F9">
              <w:rPr>
                <w:rFonts w:eastAsia="標楷體"/>
                <w:color w:val="000000"/>
                <w:kern w:val="0"/>
              </w:rPr>
              <w:t>以下簡稱性平會</w:t>
            </w:r>
            <w:r w:rsidRPr="003223F9">
              <w:rPr>
                <w:rFonts w:eastAsia="標楷體"/>
                <w:color w:val="000000"/>
                <w:kern w:val="0"/>
              </w:rPr>
              <w:t>)</w:t>
            </w:r>
            <w:r w:rsidRPr="003223F9">
              <w:rPr>
                <w:rFonts w:eastAsia="標楷體"/>
                <w:color w:val="000000"/>
                <w:kern w:val="0"/>
              </w:rPr>
              <w:t>公告辦理期間提出，申請</w:t>
            </w:r>
            <w:proofErr w:type="gramStart"/>
            <w:r w:rsidRPr="003223F9">
              <w:rPr>
                <w:rFonts w:eastAsia="標楷體"/>
                <w:color w:val="000000"/>
                <w:kern w:val="0"/>
              </w:rPr>
              <w:t>案經性平</w:t>
            </w:r>
            <w:proofErr w:type="gramEnd"/>
            <w:r w:rsidRPr="003223F9">
              <w:rPr>
                <w:rFonts w:eastAsia="標楷體"/>
                <w:color w:val="000000"/>
                <w:kern w:val="0"/>
              </w:rPr>
              <w:t>會審議通過後公告。</w:t>
            </w:r>
          </w:p>
          <w:p w14:paraId="0CF45601" w14:textId="77777777" w:rsidR="00BA15A3" w:rsidRPr="003223F9" w:rsidRDefault="00EF759A" w:rsidP="002A5C5A">
            <w:pPr>
              <w:spacing w:line="600" w:lineRule="exact"/>
              <w:jc w:val="both"/>
              <w:rPr>
                <w:rFonts w:eastAsia="標楷體" w:hint="eastAsia"/>
                <w:color w:val="000000"/>
                <w:kern w:val="0"/>
              </w:rPr>
            </w:pPr>
            <w:r w:rsidRPr="003223F9">
              <w:rPr>
                <w:rFonts w:eastAsia="標楷體"/>
                <w:color w:val="000000"/>
                <w:kern w:val="0"/>
              </w:rPr>
              <w:t>Applicants</w:t>
            </w:r>
            <w:r w:rsidR="00616C7B" w:rsidRPr="003223F9">
              <w:rPr>
                <w:rFonts w:eastAsia="標楷體"/>
                <w:color w:val="000000"/>
                <w:kern w:val="0"/>
              </w:rPr>
              <w:t xml:space="preserve"> shall complete a </w:t>
            </w:r>
            <w:r w:rsidR="002A5C5A" w:rsidRPr="003223F9">
              <w:rPr>
                <w:rFonts w:eastAsia="標楷體"/>
                <w:color w:val="000000"/>
                <w:kern w:val="0"/>
              </w:rPr>
              <w:t>recommendation</w:t>
            </w:r>
            <w:r w:rsidR="00616C7B" w:rsidRPr="003223F9">
              <w:rPr>
                <w:rFonts w:eastAsia="標楷體"/>
                <w:color w:val="000000"/>
                <w:kern w:val="0"/>
              </w:rPr>
              <w:t xml:space="preserve"> form and submit it, along with relevant supporting information, to the Committee within the announced timeframe. Appli</w:t>
            </w:r>
            <w:r w:rsidR="00DC1F91" w:rsidRPr="003223F9">
              <w:rPr>
                <w:rFonts w:eastAsia="標楷體"/>
                <w:color w:val="000000"/>
                <w:kern w:val="0"/>
              </w:rPr>
              <w:t>cations that pass the Committee’</w:t>
            </w:r>
            <w:r w:rsidR="00616C7B" w:rsidRPr="003223F9">
              <w:rPr>
                <w:rFonts w:eastAsia="標楷體"/>
                <w:color w:val="000000"/>
                <w:kern w:val="0"/>
              </w:rPr>
              <w:t>s review will be announced accordingly.</w:t>
            </w:r>
          </w:p>
        </w:tc>
      </w:tr>
      <w:tr w:rsidR="005B51B8" w:rsidRPr="003223F9" w14:paraId="0FC2648A" w14:textId="77777777" w:rsidTr="00BB540C">
        <w:trPr>
          <w:jc w:val="center"/>
        </w:trPr>
        <w:tc>
          <w:tcPr>
            <w:tcW w:w="1144" w:type="dxa"/>
          </w:tcPr>
          <w:p w14:paraId="135482E6" w14:textId="77777777" w:rsidR="005B51B8" w:rsidRPr="003223F9" w:rsidRDefault="005B51B8" w:rsidP="00BB540C">
            <w:pPr>
              <w:spacing w:line="600" w:lineRule="exact"/>
              <w:jc w:val="center"/>
              <w:rPr>
                <w:rFonts w:eastAsia="標楷體"/>
                <w:color w:val="000000"/>
                <w:kern w:val="0"/>
              </w:rPr>
            </w:pPr>
            <w:r w:rsidRPr="003223F9">
              <w:rPr>
                <w:rFonts w:eastAsia="標楷體"/>
                <w:color w:val="000000"/>
                <w:kern w:val="0"/>
              </w:rPr>
              <w:t>第六條</w:t>
            </w:r>
          </w:p>
          <w:p w14:paraId="2C2E5F0A" w14:textId="77777777" w:rsidR="00616C7B" w:rsidRPr="003223F9" w:rsidRDefault="00616C7B" w:rsidP="00BB540C">
            <w:pPr>
              <w:spacing w:line="600" w:lineRule="exact"/>
              <w:jc w:val="center"/>
              <w:rPr>
                <w:rFonts w:eastAsia="標楷體" w:hint="eastAsia"/>
                <w:color w:val="000000"/>
                <w:kern w:val="0"/>
              </w:rPr>
            </w:pPr>
            <w:r w:rsidRPr="003223F9">
              <w:rPr>
                <w:rFonts w:eastAsia="標楷體" w:hint="eastAsia"/>
                <w:color w:val="000000"/>
                <w:kern w:val="0"/>
              </w:rPr>
              <w:t>A</w:t>
            </w:r>
            <w:r w:rsidRPr="003223F9">
              <w:rPr>
                <w:rFonts w:eastAsia="標楷體"/>
                <w:color w:val="000000"/>
                <w:kern w:val="0"/>
              </w:rPr>
              <w:t>rticle 6</w:t>
            </w:r>
          </w:p>
        </w:tc>
        <w:tc>
          <w:tcPr>
            <w:tcW w:w="8657" w:type="dxa"/>
          </w:tcPr>
          <w:p w14:paraId="0A00BFEE" w14:textId="77777777" w:rsidR="005B51B8" w:rsidRPr="003223F9" w:rsidRDefault="005B51B8" w:rsidP="00BB540C">
            <w:pPr>
              <w:spacing w:line="600" w:lineRule="exact"/>
              <w:jc w:val="both"/>
              <w:rPr>
                <w:rFonts w:eastAsia="標楷體"/>
                <w:color w:val="000000"/>
                <w:kern w:val="0"/>
              </w:rPr>
            </w:pPr>
            <w:r w:rsidRPr="003223F9">
              <w:rPr>
                <w:rFonts w:eastAsia="標楷體"/>
                <w:color w:val="000000"/>
                <w:kern w:val="0"/>
              </w:rPr>
              <w:t>獎勵案經本校性平會審核通過者，應頒發獎牌或獎狀或獎勵金（視當年度預算而定），並得提報相關委員會予以記功敘獎。</w:t>
            </w:r>
          </w:p>
          <w:p w14:paraId="59CFB0E7" w14:textId="77777777" w:rsidR="00616C7B" w:rsidRPr="003223F9" w:rsidRDefault="00DC1F91" w:rsidP="00BB540C">
            <w:pPr>
              <w:spacing w:line="600" w:lineRule="exact"/>
              <w:jc w:val="both"/>
              <w:rPr>
                <w:rFonts w:eastAsia="標楷體" w:hint="eastAsia"/>
                <w:color w:val="000000"/>
                <w:kern w:val="0"/>
              </w:rPr>
            </w:pPr>
            <w:r w:rsidRPr="003223F9">
              <w:rPr>
                <w:rFonts w:eastAsia="標楷體"/>
                <w:color w:val="000000"/>
                <w:kern w:val="0"/>
              </w:rPr>
              <w:t>Applications that pass the Committee’s review will be awarded a medal, certificate of merit, or prize money (depending on the budget for the current academic year) and will be reported to relevant committees for recognition and reward.</w:t>
            </w:r>
          </w:p>
        </w:tc>
      </w:tr>
      <w:tr w:rsidR="005B51B8" w:rsidRPr="003223F9" w14:paraId="57373EA1" w14:textId="77777777" w:rsidTr="00BB540C">
        <w:trPr>
          <w:jc w:val="center"/>
        </w:trPr>
        <w:tc>
          <w:tcPr>
            <w:tcW w:w="1144" w:type="dxa"/>
          </w:tcPr>
          <w:p w14:paraId="2F97B4B6" w14:textId="77777777" w:rsidR="005B51B8" w:rsidRPr="003223F9" w:rsidRDefault="005B51B8" w:rsidP="00BB540C">
            <w:pPr>
              <w:spacing w:line="600" w:lineRule="exact"/>
              <w:jc w:val="center"/>
              <w:rPr>
                <w:rFonts w:eastAsia="標楷體"/>
                <w:color w:val="000000"/>
                <w:kern w:val="0"/>
              </w:rPr>
            </w:pPr>
            <w:r w:rsidRPr="003223F9">
              <w:rPr>
                <w:rFonts w:eastAsia="標楷體"/>
                <w:color w:val="000000"/>
                <w:kern w:val="0"/>
              </w:rPr>
              <w:t>第七條</w:t>
            </w:r>
          </w:p>
          <w:p w14:paraId="69FC74E5" w14:textId="77777777" w:rsidR="00DC1F91" w:rsidRPr="003223F9" w:rsidRDefault="00DC1F91" w:rsidP="00BB540C">
            <w:pPr>
              <w:spacing w:line="600" w:lineRule="exact"/>
              <w:jc w:val="center"/>
              <w:rPr>
                <w:rFonts w:eastAsia="標楷體" w:hint="eastAsia"/>
                <w:color w:val="000000"/>
                <w:kern w:val="0"/>
              </w:rPr>
            </w:pPr>
            <w:r w:rsidRPr="003223F9">
              <w:rPr>
                <w:rFonts w:eastAsia="標楷體" w:hint="eastAsia"/>
                <w:color w:val="000000"/>
                <w:kern w:val="0"/>
              </w:rPr>
              <w:t>A</w:t>
            </w:r>
            <w:r w:rsidRPr="003223F9">
              <w:rPr>
                <w:rFonts w:eastAsia="標楷體"/>
                <w:color w:val="000000"/>
                <w:kern w:val="0"/>
              </w:rPr>
              <w:t>rticle 7</w:t>
            </w:r>
          </w:p>
        </w:tc>
        <w:tc>
          <w:tcPr>
            <w:tcW w:w="8657" w:type="dxa"/>
          </w:tcPr>
          <w:p w14:paraId="151D59AC" w14:textId="77777777" w:rsidR="005B51B8" w:rsidRPr="003223F9" w:rsidRDefault="005B51B8" w:rsidP="00BB540C">
            <w:pPr>
              <w:spacing w:line="600" w:lineRule="exact"/>
              <w:jc w:val="both"/>
              <w:rPr>
                <w:rFonts w:eastAsia="標楷體"/>
                <w:color w:val="000000"/>
                <w:kern w:val="0"/>
              </w:rPr>
            </w:pPr>
            <w:r w:rsidRPr="003223F9">
              <w:rPr>
                <w:rFonts w:eastAsia="標楷體"/>
                <w:color w:val="000000"/>
                <w:kern w:val="0"/>
              </w:rPr>
              <w:t>本校性平會處理申請獎勵案應遵守相關迴避之規定。</w:t>
            </w:r>
          </w:p>
          <w:p w14:paraId="2205E537" w14:textId="77777777" w:rsidR="00DC1F91" w:rsidRPr="003223F9" w:rsidRDefault="00EF759A" w:rsidP="00DF5D37">
            <w:pPr>
              <w:spacing w:line="600" w:lineRule="exact"/>
              <w:jc w:val="both"/>
              <w:rPr>
                <w:rFonts w:eastAsia="標楷體" w:hint="eastAsia"/>
                <w:color w:val="000000"/>
                <w:kern w:val="0"/>
              </w:rPr>
            </w:pPr>
            <w:r w:rsidRPr="003223F9">
              <w:rPr>
                <w:rFonts w:eastAsia="標楷體"/>
                <w:color w:val="000000"/>
                <w:kern w:val="0"/>
              </w:rPr>
              <w:t xml:space="preserve">The Committee shall adhere to relevant conflict of interest provisions when </w:t>
            </w:r>
            <w:r w:rsidR="00DF5D37" w:rsidRPr="003223F9">
              <w:rPr>
                <w:rFonts w:eastAsia="標楷體"/>
                <w:color w:val="000000"/>
                <w:kern w:val="0"/>
              </w:rPr>
              <w:t>reviewing</w:t>
            </w:r>
            <w:r w:rsidRPr="003223F9">
              <w:rPr>
                <w:rFonts w:eastAsia="標楷體"/>
                <w:color w:val="000000"/>
                <w:kern w:val="0"/>
              </w:rPr>
              <w:t xml:space="preserve"> reward applications.</w:t>
            </w:r>
          </w:p>
        </w:tc>
      </w:tr>
      <w:tr w:rsidR="005B51B8" w:rsidRPr="003223F9" w14:paraId="7DB655E7" w14:textId="77777777" w:rsidTr="00BB540C">
        <w:trPr>
          <w:jc w:val="center"/>
        </w:trPr>
        <w:tc>
          <w:tcPr>
            <w:tcW w:w="1144" w:type="dxa"/>
          </w:tcPr>
          <w:p w14:paraId="7D6A838C" w14:textId="77777777" w:rsidR="005B51B8" w:rsidRPr="003223F9" w:rsidRDefault="005B51B8" w:rsidP="00BB540C">
            <w:pPr>
              <w:spacing w:line="600" w:lineRule="exact"/>
              <w:jc w:val="center"/>
              <w:rPr>
                <w:rFonts w:eastAsia="標楷體"/>
                <w:color w:val="000000"/>
                <w:kern w:val="0"/>
              </w:rPr>
            </w:pPr>
            <w:r w:rsidRPr="003223F9">
              <w:rPr>
                <w:rFonts w:eastAsia="標楷體"/>
                <w:color w:val="000000"/>
                <w:kern w:val="0"/>
              </w:rPr>
              <w:t>第八條</w:t>
            </w:r>
          </w:p>
          <w:p w14:paraId="7A4582A0" w14:textId="77777777" w:rsidR="00EF759A" w:rsidRPr="003223F9" w:rsidRDefault="00EF759A" w:rsidP="00BB540C">
            <w:pPr>
              <w:spacing w:line="600" w:lineRule="exact"/>
              <w:jc w:val="center"/>
              <w:rPr>
                <w:rFonts w:eastAsia="標楷體" w:hint="eastAsia"/>
                <w:color w:val="000000"/>
                <w:kern w:val="0"/>
              </w:rPr>
            </w:pPr>
            <w:r w:rsidRPr="003223F9">
              <w:rPr>
                <w:rFonts w:eastAsia="標楷體" w:hint="eastAsia"/>
                <w:color w:val="000000"/>
                <w:kern w:val="0"/>
              </w:rPr>
              <w:t>A</w:t>
            </w:r>
            <w:r w:rsidRPr="003223F9">
              <w:rPr>
                <w:rFonts w:eastAsia="標楷體"/>
                <w:color w:val="000000"/>
                <w:kern w:val="0"/>
              </w:rPr>
              <w:t>rticle 8</w:t>
            </w:r>
          </w:p>
        </w:tc>
        <w:tc>
          <w:tcPr>
            <w:tcW w:w="8657" w:type="dxa"/>
          </w:tcPr>
          <w:p w14:paraId="57B11C33" w14:textId="77777777" w:rsidR="005B51B8" w:rsidRPr="003223F9" w:rsidRDefault="005B51B8" w:rsidP="00BB540C">
            <w:pPr>
              <w:spacing w:line="600" w:lineRule="exact"/>
              <w:jc w:val="both"/>
              <w:rPr>
                <w:rFonts w:eastAsia="標楷體"/>
                <w:color w:val="000000"/>
                <w:kern w:val="0"/>
              </w:rPr>
            </w:pPr>
            <w:r w:rsidRPr="003223F9">
              <w:rPr>
                <w:rFonts w:eastAsia="標楷體"/>
                <w:color w:val="000000"/>
                <w:kern w:val="0"/>
              </w:rPr>
              <w:t>本辦法所需相關經費由本校性平會編列經費支應。</w:t>
            </w:r>
          </w:p>
          <w:p w14:paraId="4093B5E8" w14:textId="77777777" w:rsidR="00EF759A" w:rsidRPr="003223F9" w:rsidRDefault="00EF759A" w:rsidP="00BB540C">
            <w:pPr>
              <w:spacing w:line="600" w:lineRule="exact"/>
              <w:jc w:val="both"/>
              <w:rPr>
                <w:rFonts w:eastAsia="標楷體" w:hint="eastAsia"/>
                <w:color w:val="000000"/>
                <w:kern w:val="0"/>
              </w:rPr>
            </w:pPr>
            <w:r w:rsidRPr="003223F9">
              <w:rPr>
                <w:rFonts w:eastAsia="標楷體"/>
                <w:color w:val="000000"/>
                <w:kern w:val="0"/>
              </w:rPr>
              <w:t>The reward funds for the Regulations will be financed by the budget allocated by the Committee.</w:t>
            </w:r>
          </w:p>
        </w:tc>
      </w:tr>
      <w:tr w:rsidR="005B51B8" w:rsidRPr="001C7D5D" w14:paraId="22AF06A5" w14:textId="77777777" w:rsidTr="00BB540C">
        <w:trPr>
          <w:jc w:val="center"/>
        </w:trPr>
        <w:tc>
          <w:tcPr>
            <w:tcW w:w="1144" w:type="dxa"/>
          </w:tcPr>
          <w:p w14:paraId="570A69D7" w14:textId="77777777" w:rsidR="005B51B8" w:rsidRPr="003223F9" w:rsidRDefault="005B51B8" w:rsidP="00BB540C">
            <w:pPr>
              <w:spacing w:line="600" w:lineRule="exact"/>
              <w:jc w:val="center"/>
              <w:rPr>
                <w:rFonts w:eastAsia="標楷體"/>
                <w:color w:val="000000"/>
                <w:kern w:val="0"/>
              </w:rPr>
            </w:pPr>
            <w:r w:rsidRPr="003223F9">
              <w:rPr>
                <w:rFonts w:eastAsia="標楷體"/>
                <w:color w:val="000000"/>
                <w:kern w:val="0"/>
              </w:rPr>
              <w:t>第九條</w:t>
            </w:r>
          </w:p>
          <w:p w14:paraId="458B3EBD" w14:textId="77777777" w:rsidR="00006056" w:rsidRPr="003223F9" w:rsidRDefault="00006056" w:rsidP="00BB540C">
            <w:pPr>
              <w:spacing w:line="600" w:lineRule="exact"/>
              <w:jc w:val="center"/>
              <w:rPr>
                <w:rFonts w:eastAsia="標楷體"/>
                <w:color w:val="000000"/>
                <w:kern w:val="0"/>
              </w:rPr>
            </w:pPr>
          </w:p>
          <w:p w14:paraId="09F2A624" w14:textId="77777777" w:rsidR="00006056" w:rsidRPr="003223F9" w:rsidRDefault="00006056" w:rsidP="00BB540C">
            <w:pPr>
              <w:spacing w:line="600" w:lineRule="exact"/>
              <w:jc w:val="center"/>
              <w:rPr>
                <w:rFonts w:eastAsia="標楷體" w:hint="eastAsia"/>
                <w:color w:val="000000"/>
                <w:kern w:val="0"/>
              </w:rPr>
            </w:pPr>
            <w:r w:rsidRPr="003223F9">
              <w:rPr>
                <w:rFonts w:eastAsia="標楷體" w:hint="eastAsia"/>
                <w:color w:val="000000"/>
                <w:kern w:val="0"/>
              </w:rPr>
              <w:t>A</w:t>
            </w:r>
            <w:r w:rsidRPr="003223F9">
              <w:rPr>
                <w:rFonts w:eastAsia="標楷體"/>
                <w:color w:val="000000"/>
                <w:kern w:val="0"/>
              </w:rPr>
              <w:t xml:space="preserve">rticle </w:t>
            </w:r>
            <w:r w:rsidRPr="003223F9">
              <w:rPr>
                <w:rFonts w:eastAsia="標楷體" w:hint="eastAsia"/>
                <w:color w:val="000000"/>
                <w:kern w:val="0"/>
              </w:rPr>
              <w:t>9</w:t>
            </w:r>
          </w:p>
        </w:tc>
        <w:tc>
          <w:tcPr>
            <w:tcW w:w="8657" w:type="dxa"/>
          </w:tcPr>
          <w:p w14:paraId="3CDC5F83" w14:textId="77777777" w:rsidR="005B51B8" w:rsidRPr="003223F9" w:rsidRDefault="005B51B8" w:rsidP="00BB540C">
            <w:pPr>
              <w:spacing w:line="600" w:lineRule="exact"/>
              <w:ind w:left="94" w:hangingChars="39" w:hanging="94"/>
              <w:jc w:val="both"/>
              <w:rPr>
                <w:rFonts w:eastAsia="標楷體"/>
                <w:color w:val="000000"/>
                <w:kern w:val="0"/>
              </w:rPr>
            </w:pPr>
            <w:r w:rsidRPr="003223F9">
              <w:rPr>
                <w:rFonts w:eastAsia="標楷體"/>
                <w:color w:val="000000"/>
                <w:kern w:val="0"/>
              </w:rPr>
              <w:lastRenderedPageBreak/>
              <w:t>本辦法經本校性平會及行政會議通過後，陳請校長核定，自公布日起實施，修正</w:t>
            </w:r>
            <w:r w:rsidRPr="003223F9">
              <w:rPr>
                <w:rFonts w:eastAsia="標楷體"/>
                <w:color w:val="000000"/>
                <w:kern w:val="0"/>
              </w:rPr>
              <w:lastRenderedPageBreak/>
              <w:t>時亦同。</w:t>
            </w:r>
          </w:p>
          <w:p w14:paraId="6D48F369" w14:textId="77777777" w:rsidR="00006056" w:rsidRPr="001C7D5D" w:rsidRDefault="00006056" w:rsidP="00BB540C">
            <w:pPr>
              <w:spacing w:line="600" w:lineRule="exact"/>
              <w:ind w:left="94" w:hangingChars="39" w:hanging="94"/>
              <w:jc w:val="both"/>
              <w:rPr>
                <w:rFonts w:eastAsia="標楷體" w:hint="eastAsia"/>
                <w:color w:val="000000"/>
                <w:kern w:val="0"/>
              </w:rPr>
            </w:pPr>
            <w:r w:rsidRPr="003223F9">
              <w:rPr>
                <w:rFonts w:eastAsia="標楷體"/>
                <w:color w:val="000000"/>
                <w:kern w:val="0"/>
              </w:rPr>
              <w:t>The Regulations shall be passed by the Gender Equality Education Committee and Administrative Meeting, submitted to the President for approval and then implemented on the date of promulgation and shall apply to subsequent amendments.</w:t>
            </w:r>
          </w:p>
        </w:tc>
      </w:tr>
    </w:tbl>
    <w:p w14:paraId="2F9EB964" w14:textId="77777777" w:rsidR="00790C43" w:rsidRPr="001C7D5D" w:rsidRDefault="00790C43" w:rsidP="008624A7">
      <w:pPr>
        <w:spacing w:beforeLines="50" w:before="180" w:line="480" w:lineRule="exact"/>
        <w:jc w:val="center"/>
      </w:pPr>
    </w:p>
    <w:sectPr w:rsidR="00790C43" w:rsidRPr="001C7D5D" w:rsidSect="005B51B8">
      <w:footerReference w:type="even" r:id="rId7"/>
      <w:footerReference w:type="default" r:id="rId8"/>
      <w:pgSz w:w="11906" w:h="16838" w:code="9"/>
      <w:pgMar w:top="454" w:right="1797" w:bottom="249" w:left="179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D1C0" w14:textId="77777777" w:rsidR="00EE11EB" w:rsidRDefault="00EE11EB">
      <w:r>
        <w:separator/>
      </w:r>
    </w:p>
  </w:endnote>
  <w:endnote w:type="continuationSeparator" w:id="0">
    <w:p w14:paraId="096ABB47" w14:textId="77777777" w:rsidR="00EE11EB" w:rsidRDefault="00EE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no Pro Smbd SmText">
    <w:panose1 w:val="00000000000000000000"/>
    <w:charset w:val="00"/>
    <w:family w:val="roma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FE3E" w14:textId="77777777" w:rsidR="00CE7918" w:rsidRDefault="00CE791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0A5A1A" w14:textId="77777777" w:rsidR="00CE7918" w:rsidRDefault="00CE79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F69F" w14:textId="77777777" w:rsidR="00CE7918" w:rsidRDefault="00CE791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524B2">
      <w:rPr>
        <w:rStyle w:val="ab"/>
        <w:noProof/>
      </w:rPr>
      <w:t>4</w:t>
    </w:r>
    <w:r>
      <w:rPr>
        <w:rStyle w:val="ab"/>
      </w:rPr>
      <w:fldChar w:fldCharType="end"/>
    </w:r>
  </w:p>
  <w:p w14:paraId="7E70FB6A" w14:textId="77777777" w:rsidR="00CE7918" w:rsidRDefault="00CE79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A776" w14:textId="77777777" w:rsidR="00EE11EB" w:rsidRDefault="00EE11EB">
      <w:r>
        <w:separator/>
      </w:r>
    </w:p>
  </w:footnote>
  <w:footnote w:type="continuationSeparator" w:id="0">
    <w:p w14:paraId="5F6482A8" w14:textId="77777777" w:rsidR="00EE11EB" w:rsidRDefault="00EE1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9CFA9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1425D3"/>
    <w:multiLevelType w:val="hybridMultilevel"/>
    <w:tmpl w:val="5ED6CE36"/>
    <w:lvl w:ilvl="0" w:tplc="99283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83077"/>
    <w:multiLevelType w:val="hybridMultilevel"/>
    <w:tmpl w:val="F33260E4"/>
    <w:lvl w:ilvl="0" w:tplc="6E0C40B8">
      <w:start w:val="1"/>
      <w:numFmt w:val="ideographLegalTraditional"/>
      <w:lvlText w:val="%1、"/>
      <w:lvlJc w:val="left"/>
      <w:pPr>
        <w:tabs>
          <w:tab w:val="num" w:pos="720"/>
        </w:tabs>
        <w:ind w:left="720" w:hanging="720"/>
      </w:pPr>
      <w:rPr>
        <w:rFonts w:hint="default"/>
      </w:rPr>
    </w:lvl>
    <w:lvl w:ilvl="1" w:tplc="8ACAF9E2">
      <w:start w:val="3"/>
      <w:numFmt w:val="bullet"/>
      <w:lvlText w:val="＊"/>
      <w:lvlJc w:val="left"/>
      <w:pPr>
        <w:tabs>
          <w:tab w:val="num" w:pos="840"/>
        </w:tabs>
        <w:ind w:left="840" w:hanging="360"/>
      </w:pPr>
      <w:rPr>
        <w:rFonts w:ascii="Times New Roman" w:eastAsia="標楷體" w:hAnsi="Times New Roman" w:cs="Times New Roman" w:hint="default"/>
        <w:b/>
        <w:i/>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A440B9"/>
    <w:multiLevelType w:val="hybridMultilevel"/>
    <w:tmpl w:val="5A2A8046"/>
    <w:lvl w:ilvl="0" w:tplc="7582648A">
      <w:start w:val="6"/>
      <w:numFmt w:val="ideographDigital"/>
      <w:lvlText w:val="第%1條"/>
      <w:lvlJc w:val="left"/>
      <w:pPr>
        <w:tabs>
          <w:tab w:val="num" w:pos="1247"/>
        </w:tabs>
        <w:ind w:left="737"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8F3267"/>
    <w:multiLevelType w:val="multilevel"/>
    <w:tmpl w:val="C7EA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72C22"/>
    <w:multiLevelType w:val="hybridMultilevel"/>
    <w:tmpl w:val="4C921194"/>
    <w:lvl w:ilvl="0" w:tplc="4E36FD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8A554D"/>
    <w:multiLevelType w:val="hybridMultilevel"/>
    <w:tmpl w:val="E0ACC7E6"/>
    <w:lvl w:ilvl="0" w:tplc="35B01EFA">
      <w:start w:val="1"/>
      <w:numFmt w:val="decimal"/>
      <w:lvlText w:val="%1."/>
      <w:lvlJc w:val="left"/>
      <w:pPr>
        <w:tabs>
          <w:tab w:val="num" w:pos="906"/>
        </w:tabs>
        <w:ind w:left="906" w:hanging="360"/>
      </w:pPr>
      <w:rPr>
        <w:rFonts w:hint="eastAsia"/>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7" w15:restartNumberingAfterBreak="0">
    <w:nsid w:val="10373697"/>
    <w:multiLevelType w:val="multilevel"/>
    <w:tmpl w:val="6B4E1244"/>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276" w:hanging="443"/>
      </w:p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ideographTraditional"/>
      <w:suff w:val="nothing"/>
      <w:lvlText w:val="%5、"/>
      <w:lvlJc w:val="left"/>
      <w:pPr>
        <w:ind w:left="2500" w:hanging="555"/>
      </w:pPr>
    </w:lvl>
    <w:lvl w:ilvl="5">
      <w:start w:val="1"/>
      <w:numFmt w:val="ideographTraditional"/>
      <w:suff w:val="nothing"/>
      <w:lvlText w:val="（%6）"/>
      <w:lvlJc w:val="left"/>
      <w:pPr>
        <w:ind w:left="3056" w:hanging="834"/>
      </w:pPr>
    </w:lvl>
    <w:lvl w:ilvl="6">
      <w:start w:val="1"/>
      <w:numFmt w:val="ideographZodiac"/>
      <w:suff w:val="nothing"/>
      <w:lvlText w:val="%7、"/>
      <w:lvlJc w:val="left"/>
      <w:pPr>
        <w:ind w:left="3334" w:hanging="556"/>
      </w:pPr>
    </w:lvl>
    <w:lvl w:ilvl="7">
      <w:start w:val="1"/>
      <w:numFmt w:val="ideographZodiac"/>
      <w:suff w:val="nothing"/>
      <w:lvlText w:val="（%8）"/>
      <w:lvlJc w:val="left"/>
      <w:pPr>
        <w:ind w:left="3889" w:hanging="833"/>
      </w:pPr>
    </w:lvl>
    <w:lvl w:ilvl="8">
      <w:start w:val="1"/>
      <w:numFmt w:val="decimalFullWidth"/>
      <w:suff w:val="nothing"/>
      <w:lvlText w:val="%9）"/>
      <w:lvlJc w:val="left"/>
      <w:pPr>
        <w:ind w:left="4167" w:hanging="556"/>
      </w:pPr>
    </w:lvl>
  </w:abstractNum>
  <w:abstractNum w:abstractNumId="8" w15:restartNumberingAfterBreak="0">
    <w:nsid w:val="1B540907"/>
    <w:multiLevelType w:val="multilevel"/>
    <w:tmpl w:val="1F6A9A68"/>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276" w:hanging="443"/>
      </w:p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ideographTraditional"/>
      <w:suff w:val="nothing"/>
      <w:lvlText w:val="%5、"/>
      <w:lvlJc w:val="left"/>
      <w:pPr>
        <w:ind w:left="2500" w:hanging="555"/>
      </w:pPr>
    </w:lvl>
    <w:lvl w:ilvl="5">
      <w:start w:val="1"/>
      <w:numFmt w:val="ideographTraditional"/>
      <w:suff w:val="nothing"/>
      <w:lvlText w:val="（%6）"/>
      <w:lvlJc w:val="left"/>
      <w:pPr>
        <w:ind w:left="3056" w:hanging="834"/>
      </w:pPr>
    </w:lvl>
    <w:lvl w:ilvl="6">
      <w:start w:val="1"/>
      <w:numFmt w:val="ideographZodiac"/>
      <w:suff w:val="nothing"/>
      <w:lvlText w:val="%7、"/>
      <w:lvlJc w:val="left"/>
      <w:pPr>
        <w:ind w:left="3334" w:hanging="556"/>
      </w:pPr>
    </w:lvl>
    <w:lvl w:ilvl="7">
      <w:start w:val="1"/>
      <w:numFmt w:val="ideographZodiac"/>
      <w:suff w:val="nothing"/>
      <w:lvlText w:val="（%8）"/>
      <w:lvlJc w:val="left"/>
      <w:pPr>
        <w:ind w:left="3889" w:hanging="833"/>
      </w:pPr>
    </w:lvl>
    <w:lvl w:ilvl="8">
      <w:start w:val="1"/>
      <w:numFmt w:val="decimalFullWidth"/>
      <w:suff w:val="nothing"/>
      <w:lvlText w:val="%9）"/>
      <w:lvlJc w:val="left"/>
      <w:pPr>
        <w:ind w:left="4167" w:hanging="556"/>
      </w:pPr>
    </w:lvl>
  </w:abstractNum>
  <w:abstractNum w:abstractNumId="9" w15:restartNumberingAfterBreak="0">
    <w:nsid w:val="1E6F30F9"/>
    <w:multiLevelType w:val="hybridMultilevel"/>
    <w:tmpl w:val="212280AA"/>
    <w:lvl w:ilvl="0" w:tplc="52865D28">
      <w:start w:val="2"/>
      <w:numFmt w:val="taiwaneseCountingThousand"/>
      <w:lvlText w:val="%1、"/>
      <w:lvlJc w:val="left"/>
      <w:pPr>
        <w:tabs>
          <w:tab w:val="num" w:pos="1560"/>
        </w:tabs>
        <w:ind w:left="1560" w:hanging="480"/>
      </w:pPr>
      <w:rPr>
        <w:rFonts w:hAnsi="標楷體"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0" w15:restartNumberingAfterBreak="0">
    <w:nsid w:val="24766C8B"/>
    <w:multiLevelType w:val="hybridMultilevel"/>
    <w:tmpl w:val="C1BCC688"/>
    <w:lvl w:ilvl="0" w:tplc="39D055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78F5743"/>
    <w:multiLevelType w:val="multilevel"/>
    <w:tmpl w:val="CE24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D97AF3"/>
    <w:multiLevelType w:val="multilevel"/>
    <w:tmpl w:val="516C2C1A"/>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276" w:hanging="443"/>
      </w:p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ideographTraditional"/>
      <w:suff w:val="nothing"/>
      <w:lvlText w:val="%5、"/>
      <w:lvlJc w:val="left"/>
      <w:pPr>
        <w:ind w:left="2500" w:hanging="555"/>
      </w:pPr>
    </w:lvl>
    <w:lvl w:ilvl="5">
      <w:start w:val="1"/>
      <w:numFmt w:val="ideographTraditional"/>
      <w:suff w:val="nothing"/>
      <w:lvlText w:val="（%6）"/>
      <w:lvlJc w:val="left"/>
      <w:pPr>
        <w:ind w:left="3056" w:hanging="834"/>
      </w:pPr>
    </w:lvl>
    <w:lvl w:ilvl="6">
      <w:start w:val="1"/>
      <w:numFmt w:val="ideographZodiac"/>
      <w:suff w:val="nothing"/>
      <w:lvlText w:val="%7、"/>
      <w:lvlJc w:val="left"/>
      <w:pPr>
        <w:ind w:left="3334" w:hanging="556"/>
      </w:pPr>
    </w:lvl>
    <w:lvl w:ilvl="7">
      <w:start w:val="1"/>
      <w:numFmt w:val="ideographZodiac"/>
      <w:suff w:val="nothing"/>
      <w:lvlText w:val="（%8）"/>
      <w:lvlJc w:val="left"/>
      <w:pPr>
        <w:ind w:left="3889" w:hanging="833"/>
      </w:pPr>
    </w:lvl>
    <w:lvl w:ilvl="8">
      <w:start w:val="1"/>
      <w:numFmt w:val="decimalFullWidth"/>
      <w:suff w:val="nothing"/>
      <w:lvlText w:val="%9）"/>
      <w:lvlJc w:val="left"/>
      <w:pPr>
        <w:ind w:left="4167" w:hanging="556"/>
      </w:pPr>
    </w:lvl>
  </w:abstractNum>
  <w:abstractNum w:abstractNumId="13" w15:restartNumberingAfterBreak="0">
    <w:nsid w:val="2FBC69B0"/>
    <w:multiLevelType w:val="multilevel"/>
    <w:tmpl w:val="82A6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C40AB"/>
    <w:multiLevelType w:val="multilevel"/>
    <w:tmpl w:val="3F18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8273E"/>
    <w:multiLevelType w:val="hybridMultilevel"/>
    <w:tmpl w:val="EDCC41B4"/>
    <w:lvl w:ilvl="0" w:tplc="0D90C884">
      <w:start w:val="1"/>
      <w:numFmt w:val="taiwaneseCountingThousand"/>
      <w:lvlText w:val="（%1）"/>
      <w:lvlJc w:val="left"/>
      <w:pPr>
        <w:ind w:left="1387" w:hanging="720"/>
      </w:pPr>
      <w:rPr>
        <w:rFonts w:hint="default"/>
      </w:rPr>
    </w:lvl>
    <w:lvl w:ilvl="1" w:tplc="04090019" w:tentative="1">
      <w:start w:val="1"/>
      <w:numFmt w:val="ideographTraditional"/>
      <w:lvlText w:val="%2、"/>
      <w:lvlJc w:val="left"/>
      <w:pPr>
        <w:ind w:left="1627" w:hanging="480"/>
      </w:pPr>
    </w:lvl>
    <w:lvl w:ilvl="2" w:tplc="0409001B" w:tentative="1">
      <w:start w:val="1"/>
      <w:numFmt w:val="lowerRoman"/>
      <w:lvlText w:val="%3."/>
      <w:lvlJc w:val="right"/>
      <w:pPr>
        <w:ind w:left="2107" w:hanging="480"/>
      </w:pPr>
    </w:lvl>
    <w:lvl w:ilvl="3" w:tplc="0409000F" w:tentative="1">
      <w:start w:val="1"/>
      <w:numFmt w:val="decimal"/>
      <w:lvlText w:val="%4."/>
      <w:lvlJc w:val="left"/>
      <w:pPr>
        <w:ind w:left="2587" w:hanging="480"/>
      </w:pPr>
    </w:lvl>
    <w:lvl w:ilvl="4" w:tplc="04090019" w:tentative="1">
      <w:start w:val="1"/>
      <w:numFmt w:val="ideographTraditional"/>
      <w:lvlText w:val="%5、"/>
      <w:lvlJc w:val="left"/>
      <w:pPr>
        <w:ind w:left="3067" w:hanging="480"/>
      </w:pPr>
    </w:lvl>
    <w:lvl w:ilvl="5" w:tplc="0409001B" w:tentative="1">
      <w:start w:val="1"/>
      <w:numFmt w:val="lowerRoman"/>
      <w:lvlText w:val="%6."/>
      <w:lvlJc w:val="right"/>
      <w:pPr>
        <w:ind w:left="3547" w:hanging="480"/>
      </w:pPr>
    </w:lvl>
    <w:lvl w:ilvl="6" w:tplc="0409000F" w:tentative="1">
      <w:start w:val="1"/>
      <w:numFmt w:val="decimal"/>
      <w:lvlText w:val="%7."/>
      <w:lvlJc w:val="left"/>
      <w:pPr>
        <w:ind w:left="4027" w:hanging="480"/>
      </w:pPr>
    </w:lvl>
    <w:lvl w:ilvl="7" w:tplc="04090019" w:tentative="1">
      <w:start w:val="1"/>
      <w:numFmt w:val="ideographTraditional"/>
      <w:lvlText w:val="%8、"/>
      <w:lvlJc w:val="left"/>
      <w:pPr>
        <w:ind w:left="4507" w:hanging="480"/>
      </w:pPr>
    </w:lvl>
    <w:lvl w:ilvl="8" w:tplc="0409001B" w:tentative="1">
      <w:start w:val="1"/>
      <w:numFmt w:val="lowerRoman"/>
      <w:lvlText w:val="%9."/>
      <w:lvlJc w:val="right"/>
      <w:pPr>
        <w:ind w:left="4987" w:hanging="480"/>
      </w:pPr>
    </w:lvl>
  </w:abstractNum>
  <w:abstractNum w:abstractNumId="16" w15:restartNumberingAfterBreak="0">
    <w:nsid w:val="38D04A36"/>
    <w:multiLevelType w:val="multilevel"/>
    <w:tmpl w:val="8C8C5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5832D1"/>
    <w:multiLevelType w:val="hybridMultilevel"/>
    <w:tmpl w:val="480075DE"/>
    <w:lvl w:ilvl="0" w:tplc="8EE8C9E8">
      <w:start w:val="1"/>
      <w:numFmt w:val="taiwaneseCountingThousand"/>
      <w:lvlText w:val="%1、"/>
      <w:lvlJc w:val="left"/>
      <w:pPr>
        <w:tabs>
          <w:tab w:val="num" w:pos="360"/>
        </w:tabs>
        <w:ind w:left="624" w:hanging="624"/>
      </w:pPr>
      <w:rPr>
        <w:rFonts w:ascii="標楷體" w:eastAsia="標楷體"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CD0346F"/>
    <w:multiLevelType w:val="multilevel"/>
    <w:tmpl w:val="8974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C0191A"/>
    <w:multiLevelType w:val="hybridMultilevel"/>
    <w:tmpl w:val="602E55BA"/>
    <w:lvl w:ilvl="0" w:tplc="242C0A90">
      <w:start w:val="4"/>
      <w:numFmt w:val="ideographDigital"/>
      <w:lvlText w:val="第%1條"/>
      <w:lvlJc w:val="left"/>
      <w:pPr>
        <w:tabs>
          <w:tab w:val="num" w:pos="1247"/>
        </w:tabs>
        <w:ind w:left="737"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46A47D5"/>
    <w:multiLevelType w:val="hybridMultilevel"/>
    <w:tmpl w:val="26A00B44"/>
    <w:lvl w:ilvl="0" w:tplc="6C1ABBB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A01A42"/>
    <w:multiLevelType w:val="hybridMultilevel"/>
    <w:tmpl w:val="026E7E22"/>
    <w:lvl w:ilvl="0" w:tplc="5FC0DC8A">
      <w:start w:val="1"/>
      <w:numFmt w:val="ideographDigital"/>
      <w:lvlText w:val="第%1條"/>
      <w:lvlJc w:val="left"/>
      <w:pPr>
        <w:tabs>
          <w:tab w:val="num" w:pos="1247"/>
        </w:tabs>
        <w:ind w:left="737"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78F0CCA"/>
    <w:multiLevelType w:val="hybridMultilevel"/>
    <w:tmpl w:val="23A6DE60"/>
    <w:lvl w:ilvl="0" w:tplc="310C13C8">
      <w:start w:val="3"/>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9F86AF7"/>
    <w:multiLevelType w:val="hybridMultilevel"/>
    <w:tmpl w:val="1F0ED66A"/>
    <w:lvl w:ilvl="0" w:tplc="0DB67D72">
      <w:start w:val="1"/>
      <w:numFmt w:val="taiwaneseCountingThousand"/>
      <w:lvlText w:val="第%1條"/>
      <w:lvlJc w:val="left"/>
      <w:pPr>
        <w:tabs>
          <w:tab w:val="num" w:pos="720"/>
        </w:tabs>
        <w:ind w:left="720" w:hanging="720"/>
      </w:pPr>
      <w:rPr>
        <w:rFonts w:eastAsia="新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B4732C"/>
    <w:multiLevelType w:val="multilevel"/>
    <w:tmpl w:val="599E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4D0A5E"/>
    <w:multiLevelType w:val="multilevel"/>
    <w:tmpl w:val="94621B46"/>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276" w:hanging="443"/>
      </w:p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ideographTraditional"/>
      <w:suff w:val="nothing"/>
      <w:lvlText w:val="%5、"/>
      <w:lvlJc w:val="left"/>
      <w:pPr>
        <w:ind w:left="2500" w:hanging="555"/>
      </w:pPr>
    </w:lvl>
    <w:lvl w:ilvl="5">
      <w:start w:val="1"/>
      <w:numFmt w:val="ideographTraditional"/>
      <w:suff w:val="nothing"/>
      <w:lvlText w:val="（%6）"/>
      <w:lvlJc w:val="left"/>
      <w:pPr>
        <w:ind w:left="3056" w:hanging="834"/>
      </w:pPr>
    </w:lvl>
    <w:lvl w:ilvl="6">
      <w:start w:val="1"/>
      <w:numFmt w:val="ideographZodiac"/>
      <w:suff w:val="nothing"/>
      <w:lvlText w:val="%7、"/>
      <w:lvlJc w:val="left"/>
      <w:pPr>
        <w:ind w:left="3334" w:hanging="556"/>
      </w:pPr>
    </w:lvl>
    <w:lvl w:ilvl="7">
      <w:start w:val="1"/>
      <w:numFmt w:val="ideographZodiac"/>
      <w:suff w:val="nothing"/>
      <w:lvlText w:val="（%8）"/>
      <w:lvlJc w:val="left"/>
      <w:pPr>
        <w:ind w:left="3889" w:hanging="833"/>
      </w:pPr>
    </w:lvl>
    <w:lvl w:ilvl="8">
      <w:start w:val="1"/>
      <w:numFmt w:val="decimalFullWidth"/>
      <w:suff w:val="nothing"/>
      <w:lvlText w:val="%9）"/>
      <w:lvlJc w:val="left"/>
      <w:pPr>
        <w:ind w:left="4167" w:hanging="556"/>
      </w:pPr>
    </w:lvl>
  </w:abstractNum>
  <w:abstractNum w:abstractNumId="26" w15:restartNumberingAfterBreak="0">
    <w:nsid w:val="4FCF7314"/>
    <w:multiLevelType w:val="multilevel"/>
    <w:tmpl w:val="2A846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17493C"/>
    <w:multiLevelType w:val="hybridMultilevel"/>
    <w:tmpl w:val="202CA4B8"/>
    <w:lvl w:ilvl="0" w:tplc="3990CCC8">
      <w:numFmt w:val="bullet"/>
      <w:lvlText w:val="□"/>
      <w:lvlJc w:val="left"/>
      <w:pPr>
        <w:tabs>
          <w:tab w:val="num" w:pos="360"/>
        </w:tabs>
        <w:ind w:left="360" w:hanging="360"/>
      </w:pPr>
      <w:rPr>
        <w:rFonts w:ascii="標楷體" w:eastAsia="標楷體" w:hAnsi="標楷體" w:cs="Arno Pro Smbd SmText" w:hint="eastAsia"/>
      </w:rPr>
    </w:lvl>
    <w:lvl w:ilvl="1" w:tplc="A4BC6BD4">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4973FA4"/>
    <w:multiLevelType w:val="hybridMultilevel"/>
    <w:tmpl w:val="859C3F2E"/>
    <w:lvl w:ilvl="0" w:tplc="D2464FD2">
      <w:start w:val="1"/>
      <w:numFmt w:val="decimal"/>
      <w:lvlText w:val="%1."/>
      <w:lvlJc w:val="left"/>
      <w:pPr>
        <w:tabs>
          <w:tab w:val="num" w:pos="906"/>
        </w:tabs>
        <w:ind w:left="906" w:hanging="360"/>
      </w:pPr>
      <w:rPr>
        <w:rFonts w:hint="default"/>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29" w15:restartNumberingAfterBreak="0">
    <w:nsid w:val="66C71DCD"/>
    <w:multiLevelType w:val="hybridMultilevel"/>
    <w:tmpl w:val="11DC89D6"/>
    <w:lvl w:ilvl="0" w:tplc="9CA62D84">
      <w:numFmt w:val="bullet"/>
      <w:lvlText w:val="○"/>
      <w:lvlJc w:val="left"/>
      <w:pPr>
        <w:tabs>
          <w:tab w:val="num" w:pos="720"/>
        </w:tabs>
        <w:ind w:left="720" w:hanging="360"/>
      </w:pPr>
      <w:rPr>
        <w:rFonts w:ascii="標楷體" w:eastAsia="標楷體" w:hAnsi="標楷體" w:cs="Arno Pro Smbd SmText" w:hint="eastAsia"/>
      </w:rPr>
    </w:lvl>
    <w:lvl w:ilvl="1" w:tplc="A4BC6BD4">
      <w:numFmt w:val="bullet"/>
      <w:lvlText w:val="○"/>
      <w:lvlJc w:val="left"/>
      <w:pPr>
        <w:tabs>
          <w:tab w:val="num" w:pos="1200"/>
        </w:tabs>
        <w:ind w:left="1200" w:hanging="360"/>
      </w:pPr>
      <w:rPr>
        <w:rFonts w:ascii="標楷體" w:eastAsia="標楷體" w:hAnsi="標楷體" w:cs="Times New Roman" w:hint="eastAsia"/>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0" w15:restartNumberingAfterBreak="0">
    <w:nsid w:val="6B81155E"/>
    <w:multiLevelType w:val="multilevel"/>
    <w:tmpl w:val="FCC0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785FA2"/>
    <w:multiLevelType w:val="hybridMultilevel"/>
    <w:tmpl w:val="D3223DB4"/>
    <w:lvl w:ilvl="0" w:tplc="8C6699B6">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E883056"/>
    <w:multiLevelType w:val="multilevel"/>
    <w:tmpl w:val="0532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C028E"/>
    <w:multiLevelType w:val="singleLevel"/>
    <w:tmpl w:val="6974F0CC"/>
    <w:lvl w:ilvl="0">
      <w:start w:val="4"/>
      <w:numFmt w:val="bullet"/>
      <w:lvlText w:val="□"/>
      <w:lvlJc w:val="left"/>
      <w:pPr>
        <w:tabs>
          <w:tab w:val="num" w:pos="288"/>
        </w:tabs>
        <w:ind w:left="288" w:hanging="288"/>
      </w:pPr>
      <w:rPr>
        <w:rFonts w:ascii="標楷體" w:eastAsia="標楷體" w:hAnsi="Times New Roman" w:hint="eastAsia"/>
      </w:rPr>
    </w:lvl>
  </w:abstractNum>
  <w:abstractNum w:abstractNumId="34" w15:restartNumberingAfterBreak="0">
    <w:nsid w:val="6FE5618D"/>
    <w:multiLevelType w:val="hybridMultilevel"/>
    <w:tmpl w:val="6CB4A10E"/>
    <w:lvl w:ilvl="0" w:tplc="6C1ABBB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65152DF"/>
    <w:multiLevelType w:val="multilevel"/>
    <w:tmpl w:val="0A001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F944A1"/>
    <w:multiLevelType w:val="hybridMultilevel"/>
    <w:tmpl w:val="D84A1108"/>
    <w:lvl w:ilvl="0" w:tplc="12D4AB9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7C0B02FF"/>
    <w:multiLevelType w:val="hybridMultilevel"/>
    <w:tmpl w:val="2FB23690"/>
    <w:lvl w:ilvl="0" w:tplc="39D055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8A63F1"/>
    <w:multiLevelType w:val="multilevel"/>
    <w:tmpl w:val="B9AE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7"/>
  </w:num>
  <w:num w:numId="3">
    <w:abstractNumId w:val="29"/>
  </w:num>
  <w:num w:numId="4">
    <w:abstractNumId w:val="20"/>
  </w:num>
  <w:num w:numId="5">
    <w:abstractNumId w:val="37"/>
  </w:num>
  <w:num w:numId="6">
    <w:abstractNumId w:val="10"/>
  </w:num>
  <w:num w:numId="7">
    <w:abstractNumId w:val="34"/>
  </w:num>
  <w:num w:numId="8">
    <w:abstractNumId w:val="31"/>
  </w:num>
  <w:num w:numId="9">
    <w:abstractNumId w:val="21"/>
  </w:num>
  <w:num w:numId="10">
    <w:abstractNumId w:val="19"/>
  </w:num>
  <w:num w:numId="11">
    <w:abstractNumId w:val="3"/>
  </w:num>
  <w:num w:numId="12">
    <w:abstractNumId w:val="38"/>
  </w:num>
  <w:num w:numId="13">
    <w:abstractNumId w:val="13"/>
  </w:num>
  <w:num w:numId="14">
    <w:abstractNumId w:val="14"/>
  </w:num>
  <w:num w:numId="15">
    <w:abstractNumId w:val="24"/>
  </w:num>
  <w:num w:numId="16">
    <w:abstractNumId w:val="2"/>
  </w:num>
  <w:num w:numId="17">
    <w:abstractNumId w:val="12"/>
  </w:num>
  <w:num w:numId="18">
    <w:abstractNumId w:val="7"/>
  </w:num>
  <w:num w:numId="19">
    <w:abstractNumId w:val="8"/>
  </w:num>
  <w:num w:numId="20">
    <w:abstractNumId w:val="25"/>
  </w:num>
  <w:num w:numId="21">
    <w:abstractNumId w:val="33"/>
  </w:num>
  <w:num w:numId="22">
    <w:abstractNumId w:val="6"/>
  </w:num>
  <w:num w:numId="23">
    <w:abstractNumId w:val="28"/>
  </w:num>
  <w:num w:numId="24">
    <w:abstractNumId w:val="22"/>
  </w:num>
  <w:num w:numId="25">
    <w:abstractNumId w:val="23"/>
  </w:num>
  <w:num w:numId="26">
    <w:abstractNumId w:val="9"/>
  </w:num>
  <w:num w:numId="27">
    <w:abstractNumId w:val="16"/>
  </w:num>
  <w:num w:numId="28">
    <w:abstractNumId w:val="30"/>
  </w:num>
  <w:num w:numId="29">
    <w:abstractNumId w:val="26"/>
  </w:num>
  <w:num w:numId="30">
    <w:abstractNumId w:val="18"/>
  </w:num>
  <w:num w:numId="31">
    <w:abstractNumId w:val="32"/>
  </w:num>
  <w:num w:numId="32">
    <w:abstractNumId w:val="35"/>
  </w:num>
  <w:num w:numId="33">
    <w:abstractNumId w:val="4"/>
  </w:num>
  <w:num w:numId="34">
    <w:abstractNumId w:val="11"/>
  </w:num>
  <w:num w:numId="35">
    <w:abstractNumId w:val="36"/>
  </w:num>
  <w:num w:numId="36">
    <w:abstractNumId w:val="0"/>
  </w:num>
  <w:num w:numId="37">
    <w:abstractNumId w:val="5"/>
  </w:num>
  <w:num w:numId="38">
    <w:abstractNumId w:val="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3"/>
    <w:rsid w:val="00006056"/>
    <w:rsid w:val="000270E4"/>
    <w:rsid w:val="00040792"/>
    <w:rsid w:val="000A75C8"/>
    <w:rsid w:val="000D613A"/>
    <w:rsid w:val="00116FEB"/>
    <w:rsid w:val="00122212"/>
    <w:rsid w:val="001C7D5D"/>
    <w:rsid w:val="001F4089"/>
    <w:rsid w:val="0025482A"/>
    <w:rsid w:val="002A0A2C"/>
    <w:rsid w:val="002A5C5A"/>
    <w:rsid w:val="002A77AD"/>
    <w:rsid w:val="002B43FE"/>
    <w:rsid w:val="00305265"/>
    <w:rsid w:val="003223F9"/>
    <w:rsid w:val="00390D83"/>
    <w:rsid w:val="00462990"/>
    <w:rsid w:val="004B4586"/>
    <w:rsid w:val="004E172F"/>
    <w:rsid w:val="004E5C4A"/>
    <w:rsid w:val="004F7DE7"/>
    <w:rsid w:val="00500EB1"/>
    <w:rsid w:val="00570815"/>
    <w:rsid w:val="005B51B8"/>
    <w:rsid w:val="005F38DE"/>
    <w:rsid w:val="0061382B"/>
    <w:rsid w:val="00616C7B"/>
    <w:rsid w:val="00644013"/>
    <w:rsid w:val="006761D6"/>
    <w:rsid w:val="006E5D1F"/>
    <w:rsid w:val="00732C26"/>
    <w:rsid w:val="007710D9"/>
    <w:rsid w:val="00782D92"/>
    <w:rsid w:val="00790C43"/>
    <w:rsid w:val="007B564D"/>
    <w:rsid w:val="007C7A20"/>
    <w:rsid w:val="008624A7"/>
    <w:rsid w:val="008C0858"/>
    <w:rsid w:val="008D44B5"/>
    <w:rsid w:val="009142EF"/>
    <w:rsid w:val="00964408"/>
    <w:rsid w:val="009660AC"/>
    <w:rsid w:val="00981015"/>
    <w:rsid w:val="009D2BF8"/>
    <w:rsid w:val="009D7DDC"/>
    <w:rsid w:val="00A524B2"/>
    <w:rsid w:val="00A613FA"/>
    <w:rsid w:val="00A63C94"/>
    <w:rsid w:val="00A7333D"/>
    <w:rsid w:val="00AB44FD"/>
    <w:rsid w:val="00AD4142"/>
    <w:rsid w:val="00AF4446"/>
    <w:rsid w:val="00B41FFD"/>
    <w:rsid w:val="00B72FA1"/>
    <w:rsid w:val="00BA15A3"/>
    <w:rsid w:val="00BB540C"/>
    <w:rsid w:val="00BB671E"/>
    <w:rsid w:val="00BD5C70"/>
    <w:rsid w:val="00BF778C"/>
    <w:rsid w:val="00C31DA8"/>
    <w:rsid w:val="00C72CF2"/>
    <w:rsid w:val="00C8006E"/>
    <w:rsid w:val="00CD1CD2"/>
    <w:rsid w:val="00CD71B6"/>
    <w:rsid w:val="00CE7918"/>
    <w:rsid w:val="00CF3D4E"/>
    <w:rsid w:val="00D32634"/>
    <w:rsid w:val="00D72F47"/>
    <w:rsid w:val="00DA20E5"/>
    <w:rsid w:val="00DC1F91"/>
    <w:rsid w:val="00DF5D37"/>
    <w:rsid w:val="00E029BB"/>
    <w:rsid w:val="00E178E7"/>
    <w:rsid w:val="00E5463E"/>
    <w:rsid w:val="00E72EE6"/>
    <w:rsid w:val="00E8189B"/>
    <w:rsid w:val="00E84844"/>
    <w:rsid w:val="00EE11EB"/>
    <w:rsid w:val="00EF759A"/>
    <w:rsid w:val="00F116F0"/>
    <w:rsid w:val="00F375F0"/>
    <w:rsid w:val="00F62730"/>
    <w:rsid w:val="00FB1CA5"/>
    <w:rsid w:val="00FF5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0D981"/>
  <w15:chartTrackingRefBased/>
  <w15:docId w15:val="{C7122627-9C3B-4326-BF3F-FE025003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90C43"/>
    <w:pPr>
      <w:widowControl w:val="0"/>
    </w:pPr>
    <w:rPr>
      <w:kern w:val="2"/>
      <w:sz w:val="24"/>
      <w:szCs w:val="24"/>
    </w:rPr>
  </w:style>
  <w:style w:type="paragraph" w:styleId="1">
    <w:name w:val="heading 1"/>
    <w:basedOn w:val="a0"/>
    <w:next w:val="a0"/>
    <w:qFormat/>
    <w:rsid w:val="00790C43"/>
    <w:pPr>
      <w:keepNext/>
      <w:spacing w:before="180" w:after="180" w:line="720" w:lineRule="auto"/>
      <w:outlineLvl w:val="0"/>
    </w:pPr>
    <w:rPr>
      <w:rFonts w:ascii="Arial" w:hAnsi="Arial"/>
      <w:b/>
      <w:bCs/>
      <w:kern w:val="52"/>
      <w:sz w:val="52"/>
      <w:szCs w:val="52"/>
    </w:rPr>
  </w:style>
  <w:style w:type="paragraph" w:styleId="2">
    <w:name w:val="heading 2"/>
    <w:basedOn w:val="a0"/>
    <w:qFormat/>
    <w:rsid w:val="00790C43"/>
    <w:pPr>
      <w:widowControl/>
      <w:spacing w:before="100" w:beforeAutospacing="1" w:after="100" w:afterAutospacing="1"/>
      <w:outlineLvl w:val="1"/>
    </w:pPr>
    <w:rPr>
      <w:rFonts w:ascii="新細明體" w:hAnsi="新細明體" w:cs="新細明體"/>
      <w:b/>
      <w:bCs/>
      <w:kern w:val="0"/>
      <w:sz w:val="36"/>
      <w:szCs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790C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rsid w:val="00790C43"/>
    <w:pPr>
      <w:tabs>
        <w:tab w:val="center" w:pos="4153"/>
        <w:tab w:val="right" w:pos="8306"/>
      </w:tabs>
      <w:snapToGrid w:val="0"/>
    </w:pPr>
    <w:rPr>
      <w:sz w:val="20"/>
      <w:szCs w:val="20"/>
    </w:rPr>
  </w:style>
  <w:style w:type="paragraph" w:styleId="Web">
    <w:name w:val="Normal (Web)"/>
    <w:basedOn w:val="a0"/>
    <w:rsid w:val="00790C43"/>
    <w:pPr>
      <w:widowControl/>
      <w:spacing w:before="100" w:beforeAutospacing="1" w:after="100" w:afterAutospacing="1"/>
    </w:pPr>
    <w:rPr>
      <w:rFonts w:ascii="新細明體" w:hAnsi="新細明體" w:cs="新細明體"/>
      <w:kern w:val="0"/>
    </w:rPr>
  </w:style>
  <w:style w:type="character" w:styleId="a6">
    <w:name w:val="Strong"/>
    <w:qFormat/>
    <w:rsid w:val="00790C43"/>
    <w:rPr>
      <w:b/>
      <w:bCs/>
    </w:rPr>
  </w:style>
  <w:style w:type="character" w:styleId="a7">
    <w:name w:val="Hyperlink"/>
    <w:rsid w:val="00790C43"/>
    <w:rPr>
      <w:color w:val="0000FF"/>
      <w:u w:val="single"/>
    </w:rPr>
  </w:style>
  <w:style w:type="character" w:customStyle="1" w:styleId="style11">
    <w:name w:val="style11"/>
    <w:rsid w:val="00790C43"/>
    <w:rPr>
      <w:color w:val="663399"/>
    </w:rPr>
  </w:style>
  <w:style w:type="paragraph" w:customStyle="1" w:styleId="section1">
    <w:name w:val="section1"/>
    <w:basedOn w:val="a0"/>
    <w:rsid w:val="00790C43"/>
    <w:pPr>
      <w:widowControl/>
      <w:spacing w:before="100" w:beforeAutospacing="1" w:after="100" w:afterAutospacing="1"/>
    </w:pPr>
    <w:rPr>
      <w:rFonts w:ascii="新細明體" w:hAnsi="新細明體"/>
      <w:kern w:val="0"/>
    </w:rPr>
  </w:style>
  <w:style w:type="paragraph" w:styleId="a8">
    <w:name w:val="annotation text"/>
    <w:basedOn w:val="a0"/>
    <w:semiHidden/>
    <w:rsid w:val="00790C43"/>
  </w:style>
  <w:style w:type="paragraph" w:styleId="20">
    <w:name w:val="Body Text 2"/>
    <w:basedOn w:val="a0"/>
    <w:rsid w:val="00790C43"/>
    <w:pPr>
      <w:spacing w:line="440" w:lineRule="exact"/>
      <w:jc w:val="both"/>
    </w:pPr>
    <w:rPr>
      <w:rFonts w:ascii="標楷體" w:eastAsia="標楷體" w:hAnsi="標楷體"/>
      <w:color w:val="000000"/>
      <w:sz w:val="28"/>
      <w:szCs w:val="28"/>
    </w:rPr>
  </w:style>
  <w:style w:type="paragraph" w:styleId="a9">
    <w:name w:val="Body Text Indent"/>
    <w:basedOn w:val="a0"/>
    <w:rsid w:val="00790C43"/>
    <w:pPr>
      <w:spacing w:after="120"/>
      <w:ind w:leftChars="200" w:left="480"/>
    </w:pPr>
  </w:style>
  <w:style w:type="paragraph" w:styleId="aa">
    <w:name w:val="Body Text"/>
    <w:basedOn w:val="a0"/>
    <w:rsid w:val="00790C43"/>
    <w:pPr>
      <w:spacing w:after="120"/>
    </w:pPr>
  </w:style>
  <w:style w:type="character" w:styleId="ab">
    <w:name w:val="page number"/>
    <w:basedOn w:val="a1"/>
    <w:rsid w:val="009D7DDC"/>
  </w:style>
  <w:style w:type="paragraph" w:customStyle="1" w:styleId="style4">
    <w:name w:val="style4"/>
    <w:basedOn w:val="a0"/>
    <w:rsid w:val="009D7DDC"/>
    <w:pPr>
      <w:widowControl/>
      <w:spacing w:before="100" w:beforeAutospacing="1" w:after="100" w:afterAutospacing="1"/>
    </w:pPr>
    <w:rPr>
      <w:rFonts w:ascii="新細明體" w:hAnsi="新細明體" w:cs="新細明體"/>
      <w:b/>
      <w:bCs/>
      <w:kern w:val="0"/>
      <w:sz w:val="36"/>
      <w:szCs w:val="36"/>
    </w:rPr>
  </w:style>
  <w:style w:type="paragraph" w:customStyle="1" w:styleId="style12">
    <w:name w:val="style12"/>
    <w:basedOn w:val="a0"/>
    <w:rsid w:val="009D7DDC"/>
    <w:pPr>
      <w:widowControl/>
      <w:spacing w:before="100" w:beforeAutospacing="1" w:after="100" w:afterAutospacing="1"/>
    </w:pPr>
    <w:rPr>
      <w:rFonts w:ascii="新細明體" w:hAnsi="新細明體" w:cs="新細明體"/>
      <w:kern w:val="0"/>
      <w:sz w:val="27"/>
      <w:szCs w:val="27"/>
    </w:rPr>
  </w:style>
  <w:style w:type="paragraph" w:customStyle="1" w:styleId="style13">
    <w:name w:val="style13"/>
    <w:basedOn w:val="a0"/>
    <w:rsid w:val="009D7DDC"/>
    <w:pPr>
      <w:widowControl/>
      <w:spacing w:before="100" w:beforeAutospacing="1" w:after="100" w:afterAutospacing="1"/>
    </w:pPr>
    <w:rPr>
      <w:rFonts w:ascii="標楷體" w:eastAsia="標楷體" w:hAnsi="標楷體" w:cs="新細明體"/>
      <w:kern w:val="0"/>
      <w:sz w:val="36"/>
      <w:szCs w:val="36"/>
    </w:rPr>
  </w:style>
  <w:style w:type="character" w:customStyle="1" w:styleId="style121">
    <w:name w:val="style121"/>
    <w:rsid w:val="009D7DDC"/>
    <w:rPr>
      <w:sz w:val="27"/>
      <w:szCs w:val="27"/>
    </w:rPr>
  </w:style>
  <w:style w:type="character" w:customStyle="1" w:styleId="style41">
    <w:name w:val="style41"/>
    <w:rsid w:val="009D7DDC"/>
    <w:rPr>
      <w:b/>
      <w:bCs/>
      <w:sz w:val="36"/>
      <w:szCs w:val="36"/>
    </w:rPr>
  </w:style>
  <w:style w:type="paragraph" w:styleId="a">
    <w:name w:val="List Bullet"/>
    <w:basedOn w:val="a0"/>
    <w:rsid w:val="007C7A20"/>
    <w:pPr>
      <w:numPr>
        <w:numId w:val="36"/>
      </w:numPr>
    </w:pPr>
  </w:style>
  <w:style w:type="paragraph" w:styleId="ac">
    <w:name w:val="header"/>
    <w:basedOn w:val="a0"/>
    <w:rsid w:val="009142EF"/>
    <w:pPr>
      <w:tabs>
        <w:tab w:val="center" w:pos="4153"/>
        <w:tab w:val="right" w:pos="8306"/>
      </w:tabs>
      <w:snapToGrid w:val="0"/>
    </w:pPr>
    <w:rPr>
      <w:sz w:val="20"/>
      <w:szCs w:val="20"/>
    </w:rPr>
  </w:style>
  <w:style w:type="paragraph" w:styleId="ad">
    <w:name w:val="Balloon Text"/>
    <w:basedOn w:val="a0"/>
    <w:semiHidden/>
    <w:rsid w:val="0030526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13976">
      <w:bodyDiv w:val="1"/>
      <w:marLeft w:val="0"/>
      <w:marRight w:val="0"/>
      <w:marTop w:val="0"/>
      <w:marBottom w:val="0"/>
      <w:divBdr>
        <w:top w:val="none" w:sz="0" w:space="0" w:color="auto"/>
        <w:left w:val="none" w:sz="0" w:space="0" w:color="auto"/>
        <w:bottom w:val="none" w:sz="0" w:space="0" w:color="auto"/>
        <w:right w:val="none" w:sz="0" w:space="0" w:color="auto"/>
      </w:divBdr>
      <w:divsChild>
        <w:div w:id="1524980307">
          <w:marLeft w:val="0"/>
          <w:marRight w:val="0"/>
          <w:marTop w:val="0"/>
          <w:marBottom w:val="0"/>
          <w:divBdr>
            <w:top w:val="none" w:sz="0" w:space="0" w:color="auto"/>
            <w:left w:val="none" w:sz="0" w:space="0" w:color="auto"/>
            <w:bottom w:val="none" w:sz="0" w:space="0" w:color="auto"/>
            <w:right w:val="none" w:sz="0" w:space="0" w:color="auto"/>
          </w:divBdr>
          <w:divsChild>
            <w:div w:id="1497456192">
              <w:marLeft w:val="0"/>
              <w:marRight w:val="0"/>
              <w:marTop w:val="0"/>
              <w:marBottom w:val="0"/>
              <w:divBdr>
                <w:top w:val="none" w:sz="0" w:space="0" w:color="auto"/>
                <w:left w:val="none" w:sz="0" w:space="0" w:color="auto"/>
                <w:bottom w:val="none" w:sz="0" w:space="0" w:color="auto"/>
                <w:right w:val="none" w:sz="0" w:space="0" w:color="auto"/>
              </w:divBdr>
              <w:divsChild>
                <w:div w:id="819737913">
                  <w:marLeft w:val="0"/>
                  <w:marRight w:val="0"/>
                  <w:marTop w:val="0"/>
                  <w:marBottom w:val="0"/>
                  <w:divBdr>
                    <w:top w:val="none" w:sz="0" w:space="0" w:color="auto"/>
                    <w:left w:val="none" w:sz="0" w:space="0" w:color="auto"/>
                    <w:bottom w:val="none" w:sz="0" w:space="0" w:color="auto"/>
                    <w:right w:val="none" w:sz="0" w:space="0" w:color="auto"/>
                  </w:divBdr>
                  <w:divsChild>
                    <w:div w:id="1333340261">
                      <w:marLeft w:val="0"/>
                      <w:marRight w:val="0"/>
                      <w:marTop w:val="0"/>
                      <w:marBottom w:val="0"/>
                      <w:divBdr>
                        <w:top w:val="none" w:sz="0" w:space="0" w:color="auto"/>
                        <w:left w:val="none" w:sz="0" w:space="0" w:color="auto"/>
                        <w:bottom w:val="none" w:sz="0" w:space="0" w:color="auto"/>
                        <w:right w:val="none" w:sz="0" w:space="0" w:color="auto"/>
                      </w:divBdr>
                      <w:divsChild>
                        <w:div w:id="2493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39054">
      <w:bodyDiv w:val="1"/>
      <w:marLeft w:val="0"/>
      <w:marRight w:val="0"/>
      <w:marTop w:val="0"/>
      <w:marBottom w:val="0"/>
      <w:divBdr>
        <w:top w:val="none" w:sz="0" w:space="0" w:color="auto"/>
        <w:left w:val="none" w:sz="0" w:space="0" w:color="auto"/>
        <w:bottom w:val="none" w:sz="0" w:space="0" w:color="auto"/>
        <w:right w:val="none" w:sz="0" w:space="0" w:color="auto"/>
      </w:divBdr>
    </w:div>
    <w:div w:id="1822119416">
      <w:bodyDiv w:val="1"/>
      <w:marLeft w:val="0"/>
      <w:marRight w:val="0"/>
      <w:marTop w:val="0"/>
      <w:marBottom w:val="0"/>
      <w:divBdr>
        <w:top w:val="none" w:sz="0" w:space="0" w:color="auto"/>
        <w:left w:val="none" w:sz="0" w:space="0" w:color="auto"/>
        <w:bottom w:val="none" w:sz="0" w:space="0" w:color="auto"/>
        <w:right w:val="none" w:sz="0" w:space="0" w:color="auto"/>
      </w:divBdr>
      <w:divsChild>
        <w:div w:id="128288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7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47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876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2256921">
      <w:bodyDiv w:val="1"/>
      <w:marLeft w:val="0"/>
      <w:marRight w:val="0"/>
      <w:marTop w:val="0"/>
      <w:marBottom w:val="0"/>
      <w:divBdr>
        <w:top w:val="none" w:sz="0" w:space="0" w:color="auto"/>
        <w:left w:val="none" w:sz="0" w:space="0" w:color="auto"/>
        <w:bottom w:val="none" w:sz="0" w:space="0" w:color="auto"/>
        <w:right w:val="none" w:sz="0" w:space="0" w:color="auto"/>
      </w:divBdr>
      <w:divsChild>
        <w:div w:id="1759716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4577</Characters>
  <Application>Microsoft Office Word</Application>
  <DocSecurity>0</DocSecurity>
  <Lines>114</Lines>
  <Paragraphs>79</Paragraphs>
  <ScaleCrop>false</ScaleCrop>
  <Company>高雄醫學大學</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高雄醫學大學推動性別平等教育獎勵辦法</dc:title>
  <dc:subject/>
  <dc:creator>user</dc:creator>
  <cp:keywords/>
  <dc:description/>
  <cp:lastModifiedBy>曉薇</cp:lastModifiedBy>
  <cp:revision>2</cp:revision>
  <cp:lastPrinted>2011-03-04T06:04:00Z</cp:lastPrinted>
  <dcterms:created xsi:type="dcterms:W3CDTF">2025-09-10T05:45:00Z</dcterms:created>
  <dcterms:modified xsi:type="dcterms:W3CDTF">2025-09-10T05:45:00Z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d0f09d65-6fcf-4477-be03-3467a59dbdde</vt:lpwstr>
  </property>
</Properties>
</file>