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ED9" w:rsidRPr="004B3952" w:rsidRDefault="00144ED9" w:rsidP="0023745B">
      <w:pPr>
        <w:spacing w:afterLines="50"/>
        <w:jc w:val="center"/>
        <w:rPr>
          <w:rFonts w:ascii="Times New Roman" w:eastAsia="標楷體" w:hAnsi="Times New Roman"/>
          <w:b/>
          <w:sz w:val="32"/>
          <w:szCs w:val="32"/>
        </w:rPr>
      </w:pPr>
      <w:r w:rsidRPr="004B3952">
        <w:rPr>
          <w:rFonts w:ascii="Times New Roman" w:eastAsia="標楷體" w:hAnsi="標楷體"/>
          <w:b/>
          <w:sz w:val="32"/>
          <w:szCs w:val="32"/>
        </w:rPr>
        <w:t>高雄醫學大學協同稽核人員</w:t>
      </w:r>
      <w:proofErr w:type="gramStart"/>
      <w:r w:rsidRPr="004B3952">
        <w:rPr>
          <w:rFonts w:ascii="Times New Roman" w:eastAsia="標楷體" w:hAnsi="標楷體"/>
          <w:b/>
          <w:sz w:val="32"/>
          <w:szCs w:val="32"/>
        </w:rPr>
        <w:t>遴</w:t>
      </w:r>
      <w:proofErr w:type="gramEnd"/>
      <w:r w:rsidRPr="004B3952">
        <w:rPr>
          <w:rFonts w:ascii="Times New Roman" w:eastAsia="標楷體" w:hAnsi="標楷體"/>
          <w:b/>
          <w:sz w:val="32"/>
          <w:szCs w:val="32"/>
        </w:rPr>
        <w:t>聘要點</w:t>
      </w:r>
    </w:p>
    <w:p w:rsidR="00144ED9" w:rsidRPr="004B3952" w:rsidRDefault="00203E19" w:rsidP="004B3952">
      <w:pPr>
        <w:ind w:firstLineChars="2126" w:firstLine="5102"/>
        <w:rPr>
          <w:rFonts w:ascii="Times New Roman" w:eastAsia="標楷體" w:hAnsi="Times New Roman"/>
          <w:szCs w:val="24"/>
        </w:rPr>
      </w:pPr>
      <w:r w:rsidRPr="004B3952">
        <w:rPr>
          <w:rFonts w:ascii="Times New Roman" w:eastAsia="標楷體" w:hAnsi="Times New Roman"/>
          <w:szCs w:val="24"/>
        </w:rPr>
        <w:t>103.01.02</w:t>
      </w:r>
      <w:r w:rsidR="004B3952">
        <w:rPr>
          <w:rFonts w:ascii="Times New Roman" w:eastAsia="標楷體" w:hAnsi="Times New Roman" w:hint="eastAsia"/>
          <w:szCs w:val="24"/>
        </w:rPr>
        <w:t xml:space="preserve"> </w:t>
      </w:r>
      <w:r w:rsidR="004B3952" w:rsidRPr="004B3952">
        <w:rPr>
          <w:rFonts w:ascii="Times New Roman" w:eastAsia="標楷體" w:hAnsi="Times New Roman"/>
          <w:szCs w:val="24"/>
        </w:rPr>
        <w:t xml:space="preserve"> </w:t>
      </w:r>
      <w:r w:rsidRPr="004B3952">
        <w:rPr>
          <w:rFonts w:ascii="Times New Roman" w:eastAsia="標楷體" w:hAnsi="Times New Roman"/>
          <w:szCs w:val="24"/>
        </w:rPr>
        <w:t>102</w:t>
      </w:r>
      <w:r w:rsidRPr="004B3952">
        <w:rPr>
          <w:rFonts w:ascii="Times New Roman" w:eastAsia="標楷體" w:hAnsi="標楷體"/>
          <w:szCs w:val="24"/>
        </w:rPr>
        <w:t>學年度第</w:t>
      </w:r>
      <w:r w:rsidRPr="004B3952">
        <w:rPr>
          <w:rFonts w:ascii="Times New Roman" w:eastAsia="標楷體" w:hAnsi="Times New Roman"/>
          <w:szCs w:val="24"/>
        </w:rPr>
        <w:t>4</w:t>
      </w:r>
      <w:r w:rsidRPr="004B3952">
        <w:rPr>
          <w:rFonts w:ascii="Times New Roman" w:eastAsia="標楷體" w:hAnsi="標楷體"/>
          <w:szCs w:val="24"/>
        </w:rPr>
        <w:t>次行政會議通過</w:t>
      </w:r>
    </w:p>
    <w:p w:rsidR="004B3952" w:rsidRPr="004B3952" w:rsidRDefault="004B3952" w:rsidP="0023745B">
      <w:pPr>
        <w:spacing w:afterLines="50"/>
        <w:ind w:firstLineChars="2126" w:firstLine="5102"/>
        <w:rPr>
          <w:rFonts w:ascii="Times New Roman" w:eastAsia="標楷體" w:hAnsi="Times New Roman"/>
          <w:szCs w:val="24"/>
        </w:rPr>
      </w:pPr>
      <w:r w:rsidRPr="004B3952">
        <w:rPr>
          <w:rFonts w:ascii="Times New Roman" w:eastAsia="標楷體" w:hAnsi="Times New Roman"/>
          <w:szCs w:val="24"/>
        </w:rPr>
        <w:t xml:space="preserve">103.01. </w:t>
      </w:r>
      <w:r w:rsidR="0023745B">
        <w:rPr>
          <w:rFonts w:ascii="Times New Roman" w:eastAsia="標楷體" w:hAnsi="Times New Roman" w:hint="eastAsia"/>
          <w:szCs w:val="24"/>
        </w:rPr>
        <w:t>29</w:t>
      </w:r>
      <w:r w:rsidRPr="004B3952">
        <w:rPr>
          <w:rFonts w:ascii="Times New Roman" w:eastAsia="標楷體" w:hAnsi="Times New Roman"/>
          <w:szCs w:val="24"/>
        </w:rPr>
        <w:t xml:space="preserve"> </w:t>
      </w:r>
      <w:r w:rsidR="0023745B">
        <w:rPr>
          <w:rFonts w:ascii="Times New Roman" w:eastAsia="標楷體" w:hAnsi="Times New Roman" w:hint="eastAsia"/>
          <w:szCs w:val="24"/>
        </w:rPr>
        <w:t xml:space="preserve"> </w:t>
      </w:r>
      <w:r w:rsidRPr="004B3952">
        <w:rPr>
          <w:rFonts w:ascii="Times New Roman" w:eastAsia="標楷體" w:hAnsi="標楷體"/>
          <w:szCs w:val="24"/>
        </w:rPr>
        <w:t>高醫稽核字第</w:t>
      </w:r>
      <w:r w:rsidR="00DD63D1">
        <w:rPr>
          <w:rFonts w:ascii="Times New Roman" w:eastAsia="標楷體" w:hAnsi="標楷體" w:hint="eastAsia"/>
          <w:szCs w:val="24"/>
        </w:rPr>
        <w:t>1031100316</w:t>
      </w:r>
      <w:r w:rsidRPr="004B3952">
        <w:rPr>
          <w:rFonts w:ascii="Times New Roman" w:eastAsia="標楷體" w:hAnsi="標楷體"/>
          <w:szCs w:val="24"/>
        </w:rPr>
        <w:t>號</w:t>
      </w:r>
    </w:p>
    <w:tbl>
      <w:tblPr>
        <w:tblW w:w="4891" w:type="pct"/>
        <w:tblInd w:w="108" w:type="dxa"/>
        <w:tblLook w:val="01E0"/>
      </w:tblPr>
      <w:tblGrid>
        <w:gridCol w:w="851"/>
        <w:gridCol w:w="8788"/>
      </w:tblGrid>
      <w:tr w:rsidR="00144ED9" w:rsidRPr="00203E19" w:rsidTr="006208A5">
        <w:trPr>
          <w:trHeight w:val="20"/>
        </w:trPr>
        <w:tc>
          <w:tcPr>
            <w:tcW w:w="851" w:type="dxa"/>
          </w:tcPr>
          <w:p w:rsidR="00144ED9" w:rsidRPr="00203E19" w:rsidRDefault="00144ED9" w:rsidP="0023745B">
            <w:pPr>
              <w:numPr>
                <w:ilvl w:val="0"/>
                <w:numId w:val="44"/>
              </w:numPr>
              <w:spacing w:afterLines="50" w:line="400" w:lineRule="exact"/>
              <w:contextualSpacing/>
              <w:jc w:val="both"/>
              <w:rPr>
                <w:rFonts w:ascii="標楷體" w:eastAsia="標楷體" w:hAnsi="標楷體"/>
                <w:color w:val="000000"/>
              </w:rPr>
            </w:pPr>
          </w:p>
        </w:tc>
        <w:tc>
          <w:tcPr>
            <w:tcW w:w="8788" w:type="dxa"/>
          </w:tcPr>
          <w:p w:rsidR="00144ED9" w:rsidRPr="00203E19" w:rsidRDefault="00144ED9" w:rsidP="0023745B">
            <w:pPr>
              <w:spacing w:afterLines="50" w:line="400" w:lineRule="exact"/>
              <w:contextualSpacing/>
              <w:jc w:val="both"/>
              <w:rPr>
                <w:rFonts w:ascii="標楷體" w:eastAsia="標楷體" w:hAnsi="標楷體"/>
                <w:color w:val="000000"/>
              </w:rPr>
            </w:pPr>
            <w:r w:rsidRPr="00203E19">
              <w:rPr>
                <w:rFonts w:eastAsia="標楷體" w:hAnsi="標楷體" w:hint="eastAsia"/>
                <w:color w:val="000000"/>
                <w:kern w:val="0"/>
              </w:rPr>
              <w:t>為落實本校內部稽核，以確保內部控制制度有效實施，</w:t>
            </w:r>
            <w:r w:rsidRPr="00203E19">
              <w:rPr>
                <w:rFonts w:ascii="標楷體" w:eastAsia="標楷體" w:hAnsi="標楷體" w:hint="eastAsia"/>
                <w:color w:val="000000"/>
              </w:rPr>
              <w:t>並依據本校內部稽核實施細則第四條之規定，</w:t>
            </w:r>
            <w:r w:rsidRPr="00203E19">
              <w:rPr>
                <w:rFonts w:ascii="標楷體" w:eastAsia="標楷體" w:hAnsi="標楷體"/>
                <w:color w:val="000000"/>
              </w:rPr>
              <w:t>訂定本</w:t>
            </w:r>
            <w:r w:rsidRPr="00203E19">
              <w:rPr>
                <w:rFonts w:ascii="標楷體" w:eastAsia="標楷體" w:hAnsi="標楷體" w:hint="eastAsia"/>
                <w:color w:val="000000"/>
              </w:rPr>
              <w:t>要點</w:t>
            </w:r>
            <w:r w:rsidRPr="00203E19">
              <w:rPr>
                <w:rFonts w:ascii="標楷體" w:eastAsia="標楷體" w:hAnsi="標楷體"/>
                <w:color w:val="000000"/>
              </w:rPr>
              <w:t>。</w:t>
            </w:r>
          </w:p>
        </w:tc>
      </w:tr>
      <w:tr w:rsidR="00144ED9" w:rsidRPr="00203E19" w:rsidTr="006208A5">
        <w:trPr>
          <w:trHeight w:val="20"/>
        </w:trPr>
        <w:tc>
          <w:tcPr>
            <w:tcW w:w="851" w:type="dxa"/>
            <w:shd w:val="clear" w:color="auto" w:fill="auto"/>
          </w:tcPr>
          <w:p w:rsidR="00144ED9" w:rsidRPr="00203E19" w:rsidRDefault="00144ED9" w:rsidP="0023745B">
            <w:pPr>
              <w:numPr>
                <w:ilvl w:val="0"/>
                <w:numId w:val="44"/>
              </w:numPr>
              <w:spacing w:afterLines="50" w:line="400" w:lineRule="exact"/>
              <w:contextualSpacing/>
              <w:jc w:val="both"/>
              <w:rPr>
                <w:rFonts w:ascii="標楷體" w:eastAsia="標楷體" w:hAnsi="標楷體"/>
                <w:color w:val="000000"/>
              </w:rPr>
            </w:pPr>
          </w:p>
        </w:tc>
        <w:tc>
          <w:tcPr>
            <w:tcW w:w="8788" w:type="dxa"/>
            <w:shd w:val="clear" w:color="auto" w:fill="auto"/>
          </w:tcPr>
          <w:p w:rsidR="00144ED9" w:rsidRPr="00203E19" w:rsidRDefault="00144ED9" w:rsidP="00203E19">
            <w:pPr>
              <w:pStyle w:val="Default"/>
              <w:rPr>
                <w:rFonts w:hAnsi="標楷體"/>
              </w:rPr>
            </w:pPr>
            <w:r w:rsidRPr="00203E19">
              <w:rPr>
                <w:rFonts w:hAnsi="標楷體" w:hint="eastAsia"/>
              </w:rPr>
              <w:t>校內協同稽核人員由校長</w:t>
            </w:r>
            <w:proofErr w:type="gramStart"/>
            <w:r w:rsidRPr="00203E19">
              <w:rPr>
                <w:rFonts w:hAnsi="標楷體" w:hint="eastAsia"/>
              </w:rPr>
              <w:t>遴</w:t>
            </w:r>
            <w:proofErr w:type="gramEnd"/>
            <w:r w:rsidRPr="00203E19">
              <w:rPr>
                <w:rFonts w:hAnsi="標楷體" w:hint="eastAsia"/>
              </w:rPr>
              <w:t>聘自各單位之專職人員5至10人組成。遴選方式</w:t>
            </w:r>
            <w:proofErr w:type="gramStart"/>
            <w:r w:rsidRPr="00203E19">
              <w:rPr>
                <w:rFonts w:hAnsi="標楷體" w:hint="eastAsia"/>
              </w:rPr>
              <w:t>採</w:t>
            </w:r>
            <w:proofErr w:type="gramEnd"/>
            <w:r w:rsidRPr="00203E19">
              <w:rPr>
                <w:rFonts w:hAnsi="標楷體" w:hint="eastAsia"/>
              </w:rPr>
              <w:t>由各行政單位主管或各學院院長推薦，經稽核室製作推薦名冊，陳請校長遴選聘任。</w:t>
            </w:r>
          </w:p>
          <w:p w:rsidR="00144ED9" w:rsidRPr="00203E19" w:rsidRDefault="00144ED9" w:rsidP="0023745B">
            <w:pPr>
              <w:pStyle w:val="Default"/>
              <w:spacing w:afterLines="50"/>
              <w:rPr>
                <w:rFonts w:hAnsi="標楷體"/>
              </w:rPr>
            </w:pPr>
            <w:r w:rsidRPr="00203E19">
              <w:rPr>
                <w:rFonts w:hAnsi="標楷體" w:hint="eastAsia"/>
              </w:rPr>
              <w:t>校外協同稽核人員由稽核室推薦校外專家，再陳請校長核聘。</w:t>
            </w:r>
          </w:p>
        </w:tc>
      </w:tr>
      <w:tr w:rsidR="00144ED9" w:rsidRPr="00203E19" w:rsidTr="006208A5">
        <w:trPr>
          <w:trHeight w:val="20"/>
        </w:trPr>
        <w:tc>
          <w:tcPr>
            <w:tcW w:w="851" w:type="dxa"/>
          </w:tcPr>
          <w:p w:rsidR="00144ED9" w:rsidRPr="00203E19" w:rsidRDefault="00144ED9" w:rsidP="0023745B">
            <w:pPr>
              <w:numPr>
                <w:ilvl w:val="0"/>
                <w:numId w:val="44"/>
              </w:numPr>
              <w:spacing w:afterLines="50" w:line="400" w:lineRule="exact"/>
              <w:contextualSpacing/>
              <w:jc w:val="both"/>
              <w:rPr>
                <w:rFonts w:ascii="標楷體" w:eastAsia="標楷體" w:hAnsi="標楷體"/>
                <w:color w:val="000000"/>
              </w:rPr>
            </w:pPr>
          </w:p>
        </w:tc>
        <w:tc>
          <w:tcPr>
            <w:tcW w:w="8788" w:type="dxa"/>
          </w:tcPr>
          <w:p w:rsidR="00144ED9" w:rsidRPr="00203E19" w:rsidRDefault="00144ED9" w:rsidP="00203E19">
            <w:pPr>
              <w:pStyle w:val="Default"/>
              <w:rPr>
                <w:rFonts w:hAnsi="標楷體"/>
              </w:rPr>
            </w:pPr>
            <w:r w:rsidRPr="00203E19">
              <w:rPr>
                <w:rFonts w:hAnsi="標楷體" w:hint="eastAsia"/>
              </w:rPr>
              <w:t>協同稽核人員須</w:t>
            </w:r>
            <w:r w:rsidRPr="00203E19">
              <w:rPr>
                <w:rFonts w:hAnsi="標楷體"/>
              </w:rPr>
              <w:t>操守公正、忠誠、</w:t>
            </w:r>
            <w:r w:rsidRPr="00203E19">
              <w:rPr>
                <w:rFonts w:hAnsi="標楷體" w:hint="eastAsia"/>
              </w:rPr>
              <w:t>具有相當學識經歷，並需具備下列</w:t>
            </w:r>
            <w:r w:rsidRPr="00203E19">
              <w:rPr>
                <w:rFonts w:hAnsi="標楷體" w:cs="細明體" w:hint="eastAsia"/>
                <w:bCs/>
              </w:rPr>
              <w:t>基本能力與經歷</w:t>
            </w:r>
            <w:r w:rsidRPr="00203E19">
              <w:rPr>
                <w:rFonts w:hAnsi="標楷體" w:hint="eastAsia"/>
              </w:rPr>
              <w:t>之</w:t>
            </w:r>
            <w:proofErr w:type="gramStart"/>
            <w:r w:rsidRPr="00203E19">
              <w:rPr>
                <w:rFonts w:hAnsi="標楷體" w:hint="eastAsia"/>
              </w:rPr>
              <w:t>一</w:t>
            </w:r>
            <w:proofErr w:type="gramEnd"/>
            <w:r w:rsidRPr="00203E19">
              <w:rPr>
                <w:rFonts w:hAnsi="標楷體" w:hint="eastAsia"/>
              </w:rPr>
              <w:t>者</w:t>
            </w:r>
            <w:r w:rsidRPr="00203E19">
              <w:rPr>
                <w:rFonts w:hAnsi="標楷體" w:cs="細明體" w:hint="eastAsia"/>
                <w:bCs/>
              </w:rPr>
              <w:t>：</w:t>
            </w:r>
          </w:p>
          <w:p w:rsidR="00144ED9" w:rsidRPr="00203E19" w:rsidRDefault="00144ED9" w:rsidP="00203E19">
            <w:pPr>
              <w:pStyle w:val="Default"/>
              <w:numPr>
                <w:ilvl w:val="0"/>
                <w:numId w:val="43"/>
              </w:numPr>
              <w:ind w:left="646" w:hanging="646"/>
              <w:rPr>
                <w:rFonts w:hAnsi="標楷體" w:cs="細明體"/>
              </w:rPr>
            </w:pPr>
            <w:r w:rsidRPr="00203E19">
              <w:rPr>
                <w:rFonts w:hAnsi="標楷體" w:cs="細明體" w:hint="eastAsia"/>
              </w:rPr>
              <w:t>熟悉教育行政法規、學校內部規章及學校行政實務運作。</w:t>
            </w:r>
          </w:p>
          <w:p w:rsidR="00144ED9" w:rsidRPr="00203E19" w:rsidRDefault="00144ED9" w:rsidP="00203E19">
            <w:pPr>
              <w:pStyle w:val="Default"/>
              <w:numPr>
                <w:ilvl w:val="0"/>
                <w:numId w:val="43"/>
              </w:numPr>
              <w:ind w:left="646" w:hanging="646"/>
              <w:rPr>
                <w:rFonts w:hAnsi="標楷體"/>
              </w:rPr>
            </w:pPr>
            <w:r w:rsidRPr="00203E19">
              <w:rPr>
                <w:rFonts w:hAnsi="標楷體" w:cs="細明體" w:hint="eastAsia"/>
              </w:rPr>
              <w:t>熟悉教育理論與實務</w:t>
            </w:r>
            <w:r w:rsidR="007504D0" w:rsidRPr="00203E19">
              <w:rPr>
                <w:rFonts w:hAnsi="標楷體" w:cs="細明體" w:hint="eastAsia"/>
              </w:rPr>
              <w:t>(</w:t>
            </w:r>
            <w:r w:rsidRPr="00203E19">
              <w:rPr>
                <w:rFonts w:hAnsi="標楷體" w:cs="細明體" w:hint="eastAsia"/>
              </w:rPr>
              <w:t>教育心理、課程設計、教學方法、產學合作、教育評鑑等</w:t>
            </w:r>
            <w:r w:rsidR="007504D0" w:rsidRPr="00203E19">
              <w:rPr>
                <w:rFonts w:hAnsi="標楷體" w:cs="細明體" w:hint="eastAsia"/>
              </w:rPr>
              <w:t>)</w:t>
            </w:r>
            <w:r w:rsidRPr="00203E19">
              <w:rPr>
                <w:rFonts w:hAnsi="標楷體" w:cs="細明體" w:hint="eastAsia"/>
              </w:rPr>
              <w:t>。</w:t>
            </w:r>
          </w:p>
          <w:p w:rsidR="00144ED9" w:rsidRPr="00203E19" w:rsidRDefault="00144ED9" w:rsidP="00203E19">
            <w:pPr>
              <w:pStyle w:val="Default"/>
              <w:numPr>
                <w:ilvl w:val="0"/>
                <w:numId w:val="43"/>
              </w:numPr>
              <w:ind w:left="646" w:hanging="646"/>
              <w:rPr>
                <w:rFonts w:hAnsi="標楷體"/>
              </w:rPr>
            </w:pPr>
            <w:r w:rsidRPr="00203E19">
              <w:rPr>
                <w:rFonts w:hAnsi="標楷體" w:cs="細明體" w:hint="eastAsia"/>
              </w:rPr>
              <w:t>熟悉學校會計實務</w:t>
            </w:r>
            <w:r w:rsidRPr="00203E19">
              <w:rPr>
                <w:rFonts w:hAnsi="標楷體" w:cs="細明體"/>
              </w:rPr>
              <w:t>(</w:t>
            </w:r>
            <w:r w:rsidRPr="00203E19">
              <w:rPr>
                <w:rFonts w:hAnsi="標楷體" w:cs="細明體" w:hint="eastAsia"/>
              </w:rPr>
              <w:t>報表解讀、帳</w:t>
            </w:r>
            <w:proofErr w:type="gramStart"/>
            <w:r w:rsidRPr="00203E19">
              <w:rPr>
                <w:rFonts w:hAnsi="標楷體" w:cs="細明體" w:hint="eastAsia"/>
              </w:rPr>
              <w:t>務</w:t>
            </w:r>
            <w:proofErr w:type="gramEnd"/>
            <w:r w:rsidRPr="00203E19">
              <w:rPr>
                <w:rFonts w:hAnsi="標楷體" w:cs="細明體" w:hint="eastAsia"/>
              </w:rPr>
              <w:t>處理、成本分析、憑證審核</w:t>
            </w:r>
            <w:r w:rsidR="007504D0" w:rsidRPr="00203E19">
              <w:rPr>
                <w:rFonts w:hAnsi="標楷體" w:cs="細明體" w:hint="eastAsia"/>
              </w:rPr>
              <w:t>等</w:t>
            </w:r>
            <w:r w:rsidRPr="00203E19">
              <w:rPr>
                <w:rFonts w:hAnsi="標楷體" w:cs="細明體"/>
              </w:rPr>
              <w:t>)</w:t>
            </w:r>
            <w:r w:rsidRPr="00203E19">
              <w:rPr>
                <w:rFonts w:hAnsi="標楷體" w:cs="細明體" w:hint="eastAsia"/>
              </w:rPr>
              <w:t>與會計理論</w:t>
            </w:r>
            <w:r w:rsidRPr="00203E19">
              <w:rPr>
                <w:rFonts w:hAnsi="標楷體" w:cs="細明體"/>
              </w:rPr>
              <w:t>(</w:t>
            </w:r>
            <w:r w:rsidRPr="00203E19">
              <w:rPr>
                <w:rFonts w:hAnsi="標楷體" w:cs="細明體" w:hint="eastAsia"/>
              </w:rPr>
              <w:t>財務會計、管理會計、成本會計、審計學</w:t>
            </w:r>
            <w:r w:rsidR="007504D0" w:rsidRPr="00203E19">
              <w:rPr>
                <w:rFonts w:hAnsi="標楷體" w:cs="細明體" w:hint="eastAsia"/>
              </w:rPr>
              <w:t>等</w:t>
            </w:r>
            <w:r w:rsidRPr="00203E19">
              <w:rPr>
                <w:rFonts w:hAnsi="標楷體" w:cs="細明體"/>
              </w:rPr>
              <w:t>)</w:t>
            </w:r>
            <w:r w:rsidRPr="00203E19">
              <w:rPr>
                <w:rFonts w:hAnsi="標楷體" w:cs="細明體" w:hint="eastAsia"/>
              </w:rPr>
              <w:t>。</w:t>
            </w:r>
          </w:p>
          <w:p w:rsidR="00144ED9" w:rsidRPr="00203E19" w:rsidRDefault="00144ED9" w:rsidP="00203E19">
            <w:pPr>
              <w:pStyle w:val="Default"/>
              <w:numPr>
                <w:ilvl w:val="0"/>
                <w:numId w:val="43"/>
              </w:numPr>
              <w:ind w:left="646" w:hanging="646"/>
              <w:rPr>
                <w:rFonts w:hAnsi="標楷體"/>
              </w:rPr>
            </w:pPr>
            <w:r w:rsidRPr="00203E19">
              <w:rPr>
                <w:rFonts w:hAnsi="標楷體" w:cs="細明體" w:hint="eastAsia"/>
              </w:rPr>
              <w:t>熟悉其他專業領域作業（資訊安全、環境或實驗室安全等）。</w:t>
            </w:r>
          </w:p>
          <w:p w:rsidR="00144ED9" w:rsidRPr="00203E19" w:rsidRDefault="00144ED9" w:rsidP="00203E19">
            <w:pPr>
              <w:pStyle w:val="Default"/>
              <w:numPr>
                <w:ilvl w:val="0"/>
                <w:numId w:val="43"/>
              </w:numPr>
              <w:ind w:left="646" w:hanging="646"/>
              <w:rPr>
                <w:rFonts w:hAnsi="標楷體"/>
              </w:rPr>
            </w:pPr>
            <w:r w:rsidRPr="00203E19">
              <w:rPr>
                <w:rFonts w:hAnsi="標楷體" w:hint="eastAsia"/>
              </w:rPr>
              <w:t>曾任相關內部稽核實務工作及行政工作經驗者。</w:t>
            </w:r>
          </w:p>
          <w:p w:rsidR="00144ED9" w:rsidRPr="00203E19" w:rsidRDefault="00144ED9" w:rsidP="0023745B">
            <w:pPr>
              <w:pStyle w:val="Default"/>
              <w:numPr>
                <w:ilvl w:val="0"/>
                <w:numId w:val="43"/>
              </w:numPr>
              <w:spacing w:afterLines="50"/>
              <w:ind w:left="646" w:hanging="646"/>
              <w:rPr>
                <w:rFonts w:hAnsi="標楷體"/>
              </w:rPr>
            </w:pPr>
            <w:r w:rsidRPr="00203E19">
              <w:rPr>
                <w:rFonts w:hAnsi="標楷體" w:hint="eastAsia"/>
              </w:rPr>
              <w:t>關心本校校務行政且對內部稽核工作具服務熱忱者。</w:t>
            </w:r>
          </w:p>
        </w:tc>
      </w:tr>
      <w:tr w:rsidR="00144ED9" w:rsidRPr="00203E19" w:rsidTr="006208A5">
        <w:trPr>
          <w:trHeight w:val="20"/>
        </w:trPr>
        <w:tc>
          <w:tcPr>
            <w:tcW w:w="851" w:type="dxa"/>
            <w:shd w:val="clear" w:color="auto" w:fill="auto"/>
          </w:tcPr>
          <w:p w:rsidR="00144ED9" w:rsidRPr="00203E19" w:rsidRDefault="00144ED9" w:rsidP="0023745B">
            <w:pPr>
              <w:numPr>
                <w:ilvl w:val="0"/>
                <w:numId w:val="44"/>
              </w:numPr>
              <w:spacing w:afterLines="50" w:line="400" w:lineRule="exact"/>
              <w:contextualSpacing/>
              <w:jc w:val="both"/>
              <w:rPr>
                <w:rFonts w:ascii="標楷體" w:eastAsia="標楷體" w:hAnsi="標楷體"/>
                <w:color w:val="000000"/>
              </w:rPr>
            </w:pPr>
          </w:p>
        </w:tc>
        <w:tc>
          <w:tcPr>
            <w:tcW w:w="8788" w:type="dxa"/>
            <w:shd w:val="clear" w:color="auto" w:fill="auto"/>
          </w:tcPr>
          <w:p w:rsidR="00144ED9" w:rsidRPr="00203E19" w:rsidRDefault="00144ED9" w:rsidP="00203E19">
            <w:pPr>
              <w:spacing w:line="400" w:lineRule="exact"/>
              <w:contextualSpacing/>
              <w:jc w:val="both"/>
              <w:rPr>
                <w:rFonts w:ascii="標楷體" w:eastAsia="標楷體" w:hAnsi="標楷體"/>
                <w:color w:val="000000"/>
                <w:kern w:val="0"/>
              </w:rPr>
            </w:pPr>
            <w:proofErr w:type="gramStart"/>
            <w:r w:rsidRPr="00203E19">
              <w:rPr>
                <w:rFonts w:ascii="標楷體" w:eastAsia="標楷體" w:hAnsi="標楷體" w:cs="Arial"/>
                <w:color w:val="000000"/>
                <w:kern w:val="0"/>
                <w:szCs w:val="24"/>
              </w:rPr>
              <w:t>初任</w:t>
            </w:r>
            <w:r w:rsidRPr="00203E19">
              <w:rPr>
                <w:rFonts w:ascii="標楷體" w:eastAsia="標楷體" w:hAnsi="標楷體" w:hint="eastAsia"/>
                <w:color w:val="000000"/>
                <w:kern w:val="0"/>
              </w:rPr>
              <w:t>校內</w:t>
            </w:r>
            <w:proofErr w:type="gramEnd"/>
            <w:r w:rsidRPr="00203E19">
              <w:rPr>
                <w:rFonts w:ascii="標楷體" w:eastAsia="標楷體" w:hAnsi="標楷體" w:hint="eastAsia"/>
                <w:color w:val="000000"/>
                <w:kern w:val="0"/>
              </w:rPr>
              <w:t>協同稽核人員原則上應自聘任起至內部稽核開始前完成校內外稽核相關專業訓練課程</w:t>
            </w:r>
            <w:r w:rsidR="007504D0" w:rsidRPr="00203E19">
              <w:rPr>
                <w:rFonts w:ascii="標楷體" w:eastAsia="標楷體" w:hAnsi="標楷體" w:hint="eastAsia"/>
                <w:color w:val="000000"/>
                <w:kern w:val="0"/>
              </w:rPr>
              <w:t>八</w:t>
            </w:r>
            <w:r w:rsidRPr="00203E19">
              <w:rPr>
                <w:rFonts w:ascii="標楷體" w:eastAsia="標楷體" w:hAnsi="標楷體" w:hint="eastAsia"/>
                <w:color w:val="000000"/>
                <w:kern w:val="0"/>
              </w:rPr>
              <w:t>小時以上。</w:t>
            </w:r>
          </w:p>
          <w:p w:rsidR="00144ED9" w:rsidRPr="00203E19" w:rsidRDefault="00144ED9" w:rsidP="00203E19">
            <w:pPr>
              <w:spacing w:line="400" w:lineRule="exact"/>
              <w:contextualSpacing/>
              <w:jc w:val="both"/>
              <w:rPr>
                <w:rFonts w:ascii="標楷體" w:eastAsia="標楷體" w:hAnsi="標楷體"/>
                <w:color w:val="000000"/>
                <w:kern w:val="0"/>
              </w:rPr>
            </w:pPr>
            <w:r w:rsidRPr="00203E19">
              <w:rPr>
                <w:rFonts w:ascii="標楷體" w:eastAsia="標楷體" w:hAnsi="標楷體" w:hint="eastAsia"/>
                <w:color w:val="000000"/>
                <w:kern w:val="0"/>
              </w:rPr>
              <w:t>校內協同稽核人員每學年應參加校內外稽核相關業務專業訓練課程</w:t>
            </w:r>
            <w:r w:rsidR="007504D0" w:rsidRPr="00203E19">
              <w:rPr>
                <w:rFonts w:ascii="標楷體" w:eastAsia="標楷體" w:hAnsi="標楷體" w:hint="eastAsia"/>
                <w:color w:val="000000"/>
                <w:kern w:val="0"/>
              </w:rPr>
              <w:t>四</w:t>
            </w:r>
            <w:r w:rsidRPr="00203E19">
              <w:rPr>
                <w:rFonts w:ascii="標楷體" w:eastAsia="標楷體" w:hAnsi="標楷體" w:hint="eastAsia"/>
                <w:color w:val="000000"/>
                <w:kern w:val="0"/>
              </w:rPr>
              <w:t>小時以上。</w:t>
            </w:r>
          </w:p>
          <w:p w:rsidR="00144ED9" w:rsidRPr="00203E19" w:rsidRDefault="00144ED9" w:rsidP="0023745B">
            <w:pPr>
              <w:spacing w:afterLines="50" w:line="400" w:lineRule="exact"/>
              <w:contextualSpacing/>
              <w:jc w:val="both"/>
              <w:rPr>
                <w:rFonts w:ascii="標楷體" w:eastAsia="標楷體" w:hAnsi="標楷體"/>
                <w:color w:val="000000"/>
              </w:rPr>
            </w:pPr>
            <w:r w:rsidRPr="00203E19">
              <w:rPr>
                <w:rFonts w:ascii="標楷體" w:eastAsia="標楷體" w:hAnsi="標楷體" w:hint="eastAsia"/>
                <w:color w:val="000000"/>
                <w:kern w:val="0"/>
              </w:rPr>
              <w:t>校內協同稽核人員任期為一學年，如連續獲得推薦得連任。</w:t>
            </w:r>
          </w:p>
        </w:tc>
      </w:tr>
      <w:tr w:rsidR="00144ED9" w:rsidRPr="00203E19" w:rsidTr="006208A5">
        <w:trPr>
          <w:trHeight w:val="20"/>
        </w:trPr>
        <w:tc>
          <w:tcPr>
            <w:tcW w:w="851" w:type="dxa"/>
          </w:tcPr>
          <w:p w:rsidR="00144ED9" w:rsidRPr="00203E19" w:rsidRDefault="00144ED9" w:rsidP="0023745B">
            <w:pPr>
              <w:numPr>
                <w:ilvl w:val="0"/>
                <w:numId w:val="44"/>
              </w:numPr>
              <w:spacing w:afterLines="50" w:line="400" w:lineRule="exact"/>
              <w:contextualSpacing/>
              <w:jc w:val="both"/>
              <w:rPr>
                <w:rFonts w:ascii="標楷體" w:eastAsia="標楷體" w:hAnsi="標楷體"/>
                <w:color w:val="000000"/>
              </w:rPr>
            </w:pPr>
          </w:p>
        </w:tc>
        <w:tc>
          <w:tcPr>
            <w:tcW w:w="8788" w:type="dxa"/>
          </w:tcPr>
          <w:p w:rsidR="00144ED9" w:rsidRPr="00203E19" w:rsidRDefault="00144ED9" w:rsidP="0023745B">
            <w:pPr>
              <w:pStyle w:val="Default"/>
              <w:spacing w:afterLines="50"/>
              <w:rPr>
                <w:rFonts w:hAnsi="標楷體"/>
              </w:rPr>
            </w:pPr>
            <w:r w:rsidRPr="00203E19">
              <w:rPr>
                <w:rFonts w:hAnsi="標楷體" w:hint="eastAsia"/>
              </w:rPr>
              <w:t>校內協同稽核人員應迴避參與本身職務及相關採購程序有關之稽核事項。</w:t>
            </w:r>
            <w:r w:rsidRPr="00203E19">
              <w:rPr>
                <w:rFonts w:hAnsi="標楷體"/>
              </w:rPr>
              <w:t xml:space="preserve"> </w:t>
            </w:r>
          </w:p>
        </w:tc>
      </w:tr>
      <w:tr w:rsidR="00144ED9" w:rsidRPr="00203E19" w:rsidTr="006208A5">
        <w:trPr>
          <w:trHeight w:val="20"/>
        </w:trPr>
        <w:tc>
          <w:tcPr>
            <w:tcW w:w="851" w:type="dxa"/>
          </w:tcPr>
          <w:p w:rsidR="00144ED9" w:rsidRPr="00203E19" w:rsidRDefault="00144ED9" w:rsidP="0023745B">
            <w:pPr>
              <w:numPr>
                <w:ilvl w:val="0"/>
                <w:numId w:val="44"/>
              </w:numPr>
              <w:spacing w:afterLines="50" w:line="400" w:lineRule="exact"/>
              <w:contextualSpacing/>
              <w:jc w:val="both"/>
              <w:rPr>
                <w:rFonts w:ascii="標楷體" w:eastAsia="標楷體" w:hAnsi="標楷體"/>
                <w:color w:val="000000"/>
              </w:rPr>
            </w:pPr>
          </w:p>
        </w:tc>
        <w:tc>
          <w:tcPr>
            <w:tcW w:w="8788" w:type="dxa"/>
          </w:tcPr>
          <w:p w:rsidR="00144ED9" w:rsidRPr="00203E19" w:rsidRDefault="00144ED9" w:rsidP="00203E19">
            <w:pPr>
              <w:pStyle w:val="Default"/>
              <w:rPr>
                <w:rFonts w:hAnsi="標楷體"/>
              </w:rPr>
            </w:pPr>
            <w:r w:rsidRPr="00203E19">
              <w:rPr>
                <w:rFonts w:hAnsi="標楷體" w:hint="eastAsia"/>
              </w:rPr>
              <w:t>校內協同稽核人員為無給職。</w:t>
            </w:r>
          </w:p>
          <w:p w:rsidR="00144ED9" w:rsidRPr="00203E19" w:rsidRDefault="00144ED9" w:rsidP="0023745B">
            <w:pPr>
              <w:pStyle w:val="Default"/>
              <w:spacing w:afterLines="50"/>
              <w:rPr>
                <w:rFonts w:hAnsi="標楷體"/>
              </w:rPr>
            </w:pPr>
            <w:r w:rsidRPr="00203E19">
              <w:rPr>
                <w:rFonts w:hAnsi="標楷體" w:hint="eastAsia"/>
              </w:rPr>
              <w:t>校外協同稽核人員之津貼及相關費用，由稽核室另案簽請校長核准。</w:t>
            </w:r>
          </w:p>
        </w:tc>
      </w:tr>
      <w:tr w:rsidR="00144ED9" w:rsidRPr="00203E19" w:rsidTr="006208A5">
        <w:trPr>
          <w:trHeight w:val="20"/>
        </w:trPr>
        <w:tc>
          <w:tcPr>
            <w:tcW w:w="851" w:type="dxa"/>
          </w:tcPr>
          <w:p w:rsidR="00144ED9" w:rsidRPr="00203E19" w:rsidRDefault="00144ED9" w:rsidP="0023745B">
            <w:pPr>
              <w:numPr>
                <w:ilvl w:val="0"/>
                <w:numId w:val="44"/>
              </w:numPr>
              <w:spacing w:afterLines="50" w:line="400" w:lineRule="exact"/>
              <w:contextualSpacing/>
              <w:jc w:val="both"/>
              <w:rPr>
                <w:rFonts w:ascii="標楷體" w:eastAsia="標楷體" w:hAnsi="標楷體"/>
                <w:color w:val="000000"/>
              </w:rPr>
            </w:pPr>
          </w:p>
        </w:tc>
        <w:tc>
          <w:tcPr>
            <w:tcW w:w="8788" w:type="dxa"/>
          </w:tcPr>
          <w:p w:rsidR="00144ED9" w:rsidRPr="00203E19" w:rsidRDefault="00144ED9" w:rsidP="0023745B">
            <w:pPr>
              <w:autoSpaceDE w:val="0"/>
              <w:autoSpaceDN w:val="0"/>
              <w:adjustRightInd w:val="0"/>
              <w:spacing w:afterLines="50" w:line="400" w:lineRule="exact"/>
              <w:rPr>
                <w:rFonts w:ascii="標楷體" w:eastAsia="標楷體" w:hAnsi="標楷體"/>
                <w:color w:val="000000"/>
              </w:rPr>
            </w:pPr>
            <w:r w:rsidRPr="00203E19">
              <w:rPr>
                <w:rFonts w:ascii="標楷體" w:eastAsia="標楷體" w:hAnsi="標楷體" w:hint="eastAsia"/>
                <w:color w:val="000000"/>
              </w:rPr>
              <w:t>協同稽核人員需配合</w:t>
            </w:r>
            <w:r w:rsidRPr="00203E19">
              <w:rPr>
                <w:rFonts w:ascii="標楷體" w:eastAsia="標楷體" w:hAnsi="標楷體" w:cs="標楷體I...." w:hint="eastAsia"/>
                <w:color w:val="000000"/>
                <w:kern w:val="0"/>
              </w:rPr>
              <w:t>撰寫稽核程式、改善建議及稽核報告等工作，並執行現場稽核</w:t>
            </w:r>
            <w:r w:rsidRPr="00203E19">
              <w:rPr>
                <w:rFonts w:ascii="標楷體" w:eastAsia="標楷體" w:hAnsi="標楷體" w:hint="eastAsia"/>
                <w:color w:val="000000"/>
              </w:rPr>
              <w:t>提供專業意見</w:t>
            </w:r>
            <w:r w:rsidRPr="00203E19">
              <w:rPr>
                <w:rFonts w:ascii="標楷體" w:eastAsia="標楷體" w:hAnsi="標楷體" w:cs="標楷體I...." w:hint="eastAsia"/>
                <w:color w:val="000000"/>
                <w:kern w:val="0"/>
              </w:rPr>
              <w:t>。</w:t>
            </w:r>
          </w:p>
        </w:tc>
      </w:tr>
      <w:tr w:rsidR="00144ED9" w:rsidRPr="00203E19" w:rsidTr="006208A5">
        <w:trPr>
          <w:trHeight w:val="20"/>
        </w:trPr>
        <w:tc>
          <w:tcPr>
            <w:tcW w:w="851" w:type="dxa"/>
          </w:tcPr>
          <w:p w:rsidR="00144ED9" w:rsidRPr="00203E19" w:rsidRDefault="00144ED9" w:rsidP="0023745B">
            <w:pPr>
              <w:numPr>
                <w:ilvl w:val="0"/>
                <w:numId w:val="44"/>
              </w:numPr>
              <w:spacing w:afterLines="50" w:line="400" w:lineRule="exact"/>
              <w:contextualSpacing/>
              <w:jc w:val="both"/>
              <w:rPr>
                <w:rFonts w:ascii="標楷體" w:eastAsia="標楷體" w:hAnsi="標楷體"/>
                <w:color w:val="000000"/>
              </w:rPr>
            </w:pPr>
          </w:p>
        </w:tc>
        <w:tc>
          <w:tcPr>
            <w:tcW w:w="8788" w:type="dxa"/>
          </w:tcPr>
          <w:p w:rsidR="00144ED9" w:rsidRPr="00203E19" w:rsidRDefault="00144ED9" w:rsidP="0023745B">
            <w:pPr>
              <w:spacing w:afterLines="50" w:line="400" w:lineRule="exact"/>
              <w:contextualSpacing/>
              <w:jc w:val="both"/>
              <w:rPr>
                <w:rFonts w:ascii="標楷體" w:eastAsia="標楷體" w:hAnsi="標楷體"/>
                <w:color w:val="000000"/>
              </w:rPr>
            </w:pPr>
            <w:r w:rsidRPr="00203E19">
              <w:rPr>
                <w:rFonts w:ascii="標楷體" w:eastAsia="標楷體" w:hAnsi="標楷體" w:hint="eastAsia"/>
                <w:color w:val="000000"/>
              </w:rPr>
              <w:t>本要點未盡事宜，悉依教育部與本校相關規定辦理。</w:t>
            </w:r>
          </w:p>
        </w:tc>
      </w:tr>
      <w:tr w:rsidR="00144ED9" w:rsidRPr="00203E19" w:rsidTr="006208A5">
        <w:trPr>
          <w:trHeight w:val="20"/>
        </w:trPr>
        <w:tc>
          <w:tcPr>
            <w:tcW w:w="851" w:type="dxa"/>
          </w:tcPr>
          <w:p w:rsidR="00144ED9" w:rsidRPr="00203E19" w:rsidRDefault="00144ED9" w:rsidP="0023745B">
            <w:pPr>
              <w:numPr>
                <w:ilvl w:val="0"/>
                <w:numId w:val="44"/>
              </w:numPr>
              <w:spacing w:afterLines="50" w:line="400" w:lineRule="exact"/>
              <w:contextualSpacing/>
              <w:jc w:val="both"/>
              <w:rPr>
                <w:rFonts w:ascii="標楷體" w:eastAsia="標楷體" w:hAnsi="標楷體"/>
                <w:color w:val="000000"/>
              </w:rPr>
            </w:pPr>
          </w:p>
        </w:tc>
        <w:tc>
          <w:tcPr>
            <w:tcW w:w="8788" w:type="dxa"/>
          </w:tcPr>
          <w:p w:rsidR="00144ED9" w:rsidRPr="00203E19" w:rsidRDefault="00144ED9" w:rsidP="0023745B">
            <w:pPr>
              <w:spacing w:afterLines="50" w:line="400" w:lineRule="exact"/>
              <w:contextualSpacing/>
              <w:jc w:val="both"/>
              <w:rPr>
                <w:rFonts w:ascii="標楷體" w:eastAsia="標楷體" w:hAnsi="標楷體"/>
                <w:color w:val="000000"/>
              </w:rPr>
            </w:pPr>
            <w:r w:rsidRPr="00203E19">
              <w:rPr>
                <w:rFonts w:ascii="標楷體" w:eastAsia="標楷體" w:hAnsi="標楷體" w:cs="標楷體I...." w:hint="eastAsia"/>
                <w:color w:val="000000"/>
                <w:kern w:val="0"/>
              </w:rPr>
              <w:t>本要點經行政</w:t>
            </w:r>
            <w:r w:rsidRPr="00203E19">
              <w:rPr>
                <w:rFonts w:ascii="標楷體" w:eastAsia="標楷體" w:hAnsi="標楷體" w:hint="eastAsia"/>
                <w:color w:val="000000"/>
              </w:rPr>
              <w:t>會議</w:t>
            </w:r>
            <w:r w:rsidRPr="00203E19">
              <w:rPr>
                <w:rFonts w:ascii="標楷體" w:eastAsia="標楷體" w:hAnsi="標楷體"/>
                <w:color w:val="000000"/>
              </w:rPr>
              <w:t>審議通過，陳請校長核定後，自公布日起實施，修正時亦同。</w:t>
            </w:r>
          </w:p>
        </w:tc>
      </w:tr>
    </w:tbl>
    <w:p w:rsidR="00EC0AFA" w:rsidRPr="006208A5" w:rsidRDefault="00EC0AFA" w:rsidP="00203E19">
      <w:pPr>
        <w:widowControl/>
        <w:jc w:val="both"/>
        <w:rPr>
          <w:rFonts w:ascii="Arial" w:hAnsi="Arial" w:cs="Arial"/>
          <w:vanish/>
          <w:color w:val="000000"/>
          <w:kern w:val="0"/>
          <w:sz w:val="19"/>
          <w:szCs w:val="19"/>
        </w:rPr>
      </w:pPr>
    </w:p>
    <w:p w:rsidR="00A246A8" w:rsidRPr="006208A5" w:rsidRDefault="00A246A8" w:rsidP="00B51593">
      <w:pPr>
        <w:pStyle w:val="a"/>
        <w:numPr>
          <w:ilvl w:val="0"/>
          <w:numId w:val="0"/>
        </w:numPr>
        <w:spacing w:line="600" w:lineRule="exact"/>
        <w:ind w:rightChars="-64" w:right="-154"/>
        <w:jc w:val="center"/>
        <w:rPr>
          <w:rFonts w:ascii="標楷體" w:hAnsi="標楷體"/>
          <w:color w:val="000000"/>
        </w:rPr>
      </w:pPr>
    </w:p>
    <w:sectPr w:rsidR="00A246A8" w:rsidRPr="006208A5" w:rsidSect="00EA3948">
      <w:pgSz w:w="11906" w:h="16838" w:code="9"/>
      <w:pgMar w:top="1134" w:right="1134" w:bottom="1134" w:left="1134" w:header="567" w:footer="34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8F2" w:rsidRDefault="008748F2" w:rsidP="007D67AD">
      <w:r>
        <w:separator/>
      </w:r>
    </w:p>
  </w:endnote>
  <w:endnote w:type="continuationSeparator" w:id="0">
    <w:p w:rsidR="008748F2" w:rsidRDefault="008748F2" w:rsidP="007D67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標楷體I....">
    <w:altName w:val="標楷體"/>
    <w:panose1 w:val="00000000000000000000"/>
    <w:charset w:val="88"/>
    <w:family w:val="roman"/>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8F2" w:rsidRDefault="008748F2" w:rsidP="007D67AD">
      <w:r>
        <w:separator/>
      </w:r>
    </w:p>
  </w:footnote>
  <w:footnote w:type="continuationSeparator" w:id="0">
    <w:p w:rsidR="008748F2" w:rsidRDefault="008748F2" w:rsidP="007D67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896"/>
    <w:multiLevelType w:val="hybridMultilevel"/>
    <w:tmpl w:val="7E367E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0734BD"/>
    <w:multiLevelType w:val="hybridMultilevel"/>
    <w:tmpl w:val="4552CB34"/>
    <w:lvl w:ilvl="0" w:tplc="5BDEDD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1844DF"/>
    <w:multiLevelType w:val="hybridMultilevel"/>
    <w:tmpl w:val="91760462"/>
    <w:lvl w:ilvl="0" w:tplc="04090015">
      <w:start w:val="1"/>
      <w:numFmt w:val="taiwaneseCountingThousand"/>
      <w:lvlText w:val="%1、"/>
      <w:lvlJc w:val="left"/>
      <w:pPr>
        <w:ind w:left="660" w:hanging="48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3">
    <w:nsid w:val="050E06FC"/>
    <w:multiLevelType w:val="hybridMultilevel"/>
    <w:tmpl w:val="C622BA3E"/>
    <w:lvl w:ilvl="0" w:tplc="0218C4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836531"/>
    <w:multiLevelType w:val="hybridMultilevel"/>
    <w:tmpl w:val="3CBEA1B8"/>
    <w:lvl w:ilvl="0" w:tplc="2342E8B2">
      <w:start w:val="1"/>
      <w:numFmt w:val="taiwaneseCountingThousand"/>
      <w:lvlText w:val="(%1)"/>
      <w:lvlJc w:val="left"/>
      <w:pPr>
        <w:ind w:left="480" w:hanging="48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8A25838"/>
    <w:multiLevelType w:val="hybridMultilevel"/>
    <w:tmpl w:val="7E367E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A8A751B"/>
    <w:multiLevelType w:val="hybridMultilevel"/>
    <w:tmpl w:val="6F58DB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E2F551B"/>
    <w:multiLevelType w:val="hybridMultilevel"/>
    <w:tmpl w:val="267E1CE2"/>
    <w:lvl w:ilvl="0" w:tplc="0EA4FB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EA57987"/>
    <w:multiLevelType w:val="hybridMultilevel"/>
    <w:tmpl w:val="4F48F4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80208B"/>
    <w:multiLevelType w:val="hybridMultilevel"/>
    <w:tmpl w:val="A1F6D912"/>
    <w:lvl w:ilvl="0" w:tplc="A6E8AA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8E44DD"/>
    <w:multiLevelType w:val="hybridMultilevel"/>
    <w:tmpl w:val="10B084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2697323"/>
    <w:multiLevelType w:val="hybridMultilevel"/>
    <w:tmpl w:val="4F48F4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27534B9"/>
    <w:multiLevelType w:val="hybridMultilevel"/>
    <w:tmpl w:val="3FECB8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9CE2E54"/>
    <w:multiLevelType w:val="hybridMultilevel"/>
    <w:tmpl w:val="70EEE03E"/>
    <w:lvl w:ilvl="0" w:tplc="6986BEA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BA71B4E"/>
    <w:multiLevelType w:val="hybridMultilevel"/>
    <w:tmpl w:val="8E3C3B9C"/>
    <w:lvl w:ilvl="0" w:tplc="5C44F3D0">
      <w:start w:val="1"/>
      <w:numFmt w:val="taiwaneseCountingThousand"/>
      <w:lvlText w:val="%1、"/>
      <w:lvlJc w:val="left"/>
      <w:pPr>
        <w:ind w:left="480" w:hanging="480"/>
      </w:pPr>
      <w:rPr>
        <w:rFonts w:ascii="標楷體" w:eastAsia="標楷體" w:hAnsi="標楷體" w:cs="Times New Roman" w:hint="default"/>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20F8111D"/>
    <w:multiLevelType w:val="hybridMultilevel"/>
    <w:tmpl w:val="6F58DB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3D25D4C"/>
    <w:multiLevelType w:val="hybridMultilevel"/>
    <w:tmpl w:val="085865D2"/>
    <w:lvl w:ilvl="0" w:tplc="5D2E3268">
      <w:start w:val="1"/>
      <w:numFmt w:val="taiwaneseCountingThousand"/>
      <w:lvlText w:val="%1、"/>
      <w:lvlJc w:val="left"/>
      <w:pPr>
        <w:ind w:left="480" w:hanging="480"/>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4B4385D"/>
    <w:multiLevelType w:val="hybridMultilevel"/>
    <w:tmpl w:val="6ACC71E4"/>
    <w:lvl w:ilvl="0" w:tplc="4F26D0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94D3C03"/>
    <w:multiLevelType w:val="hybridMultilevel"/>
    <w:tmpl w:val="89C0F924"/>
    <w:lvl w:ilvl="0" w:tplc="D5268BE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AAF37B9"/>
    <w:multiLevelType w:val="hybridMultilevel"/>
    <w:tmpl w:val="5D0CF772"/>
    <w:lvl w:ilvl="0" w:tplc="3F6095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E4842A8"/>
    <w:multiLevelType w:val="hybridMultilevel"/>
    <w:tmpl w:val="D1F07F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0171DD2"/>
    <w:multiLevelType w:val="hybridMultilevel"/>
    <w:tmpl w:val="FD3EC60E"/>
    <w:lvl w:ilvl="0" w:tplc="75F0E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0631051"/>
    <w:multiLevelType w:val="hybridMultilevel"/>
    <w:tmpl w:val="3DAC3C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2C73F35"/>
    <w:multiLevelType w:val="hybridMultilevel"/>
    <w:tmpl w:val="C982324C"/>
    <w:lvl w:ilvl="0" w:tplc="3E34A0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65170B0"/>
    <w:multiLevelType w:val="hybridMultilevel"/>
    <w:tmpl w:val="CE3A3B82"/>
    <w:lvl w:ilvl="0" w:tplc="CC6493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0F3677A"/>
    <w:multiLevelType w:val="hybridMultilevel"/>
    <w:tmpl w:val="B82884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5B1627F"/>
    <w:multiLevelType w:val="hybridMultilevel"/>
    <w:tmpl w:val="8EA2846E"/>
    <w:lvl w:ilvl="0" w:tplc="C32C1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7107D2B"/>
    <w:multiLevelType w:val="hybridMultilevel"/>
    <w:tmpl w:val="9990C2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78A3B4A"/>
    <w:multiLevelType w:val="hybridMultilevel"/>
    <w:tmpl w:val="99386D66"/>
    <w:lvl w:ilvl="0" w:tplc="868882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80E7C44"/>
    <w:multiLevelType w:val="hybridMultilevel"/>
    <w:tmpl w:val="508EA6AA"/>
    <w:lvl w:ilvl="0" w:tplc="AD5E75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0EA5EAF"/>
    <w:multiLevelType w:val="hybridMultilevel"/>
    <w:tmpl w:val="CAF47D5C"/>
    <w:lvl w:ilvl="0" w:tplc="C6B48FB6">
      <w:start w:val="1"/>
      <w:numFmt w:val="taiwaneseCountingThousand"/>
      <w:lvlText w:val="%1、"/>
      <w:lvlJc w:val="left"/>
      <w:pPr>
        <w:tabs>
          <w:tab w:val="num" w:pos="720"/>
        </w:tabs>
        <w:ind w:left="720" w:hanging="720"/>
      </w:pPr>
      <w:rPr>
        <w:rFonts w:hint="default"/>
        <w:color w:val="auto"/>
        <w:sz w:val="24"/>
        <w:bdr w:val="none" w:sz="0" w:space="0" w:color="auto"/>
        <w:lang w:val="en-US"/>
      </w:rPr>
    </w:lvl>
    <w:lvl w:ilvl="1" w:tplc="B2C25026">
      <w:start w:val="1"/>
      <w:numFmt w:val="taiwaneseCountingThousand"/>
      <w:lvlText w:val="(%2)"/>
      <w:lvlJc w:val="left"/>
      <w:pPr>
        <w:ind w:left="2324"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847606D"/>
    <w:multiLevelType w:val="multilevel"/>
    <w:tmpl w:val="DEA0571A"/>
    <w:lvl w:ilvl="0">
      <w:start w:val="1"/>
      <w:numFmt w:val="taiwaneseCountingThousand"/>
      <w:pStyle w:val="a"/>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89" w:hanging="737"/>
      </w:pPr>
      <w:rPr>
        <w:rFonts w:hint="eastAsia"/>
      </w:rPr>
    </w:lvl>
    <w:lvl w:ilvl="3">
      <w:start w:val="1"/>
      <w:numFmt w:val="decimalFullWidth"/>
      <w:suff w:val="nothing"/>
      <w:lvlText w:val="（%4）"/>
      <w:lvlJc w:val="left"/>
      <w:pPr>
        <w:ind w:left="2903" w:hanging="1089"/>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2">
    <w:nsid w:val="5B7A2C84"/>
    <w:multiLevelType w:val="hybridMultilevel"/>
    <w:tmpl w:val="085865D2"/>
    <w:lvl w:ilvl="0" w:tplc="5D2E3268">
      <w:start w:val="1"/>
      <w:numFmt w:val="taiwaneseCountingThousand"/>
      <w:lvlText w:val="%1、"/>
      <w:lvlJc w:val="left"/>
      <w:pPr>
        <w:ind w:left="480" w:hanging="480"/>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CCF317E"/>
    <w:multiLevelType w:val="hybridMultilevel"/>
    <w:tmpl w:val="70EEE03E"/>
    <w:lvl w:ilvl="0" w:tplc="6986BEA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D037E02"/>
    <w:multiLevelType w:val="hybridMultilevel"/>
    <w:tmpl w:val="C622BA3E"/>
    <w:lvl w:ilvl="0" w:tplc="0218C4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1512729"/>
    <w:multiLevelType w:val="hybridMultilevel"/>
    <w:tmpl w:val="8E3C3B9C"/>
    <w:lvl w:ilvl="0" w:tplc="5C44F3D0">
      <w:start w:val="1"/>
      <w:numFmt w:val="taiwaneseCountingThousand"/>
      <w:lvlText w:val="%1、"/>
      <w:lvlJc w:val="left"/>
      <w:pPr>
        <w:ind w:left="480" w:hanging="480"/>
      </w:pPr>
      <w:rPr>
        <w:rFonts w:ascii="標楷體" w:eastAsia="標楷體" w:hAnsi="標楷體" w:cs="Times New Roman" w:hint="default"/>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637E3158"/>
    <w:multiLevelType w:val="hybridMultilevel"/>
    <w:tmpl w:val="A1F6D912"/>
    <w:lvl w:ilvl="0" w:tplc="A6E8AA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5C90FE0"/>
    <w:multiLevelType w:val="hybridMultilevel"/>
    <w:tmpl w:val="0C14DA5A"/>
    <w:lvl w:ilvl="0" w:tplc="6986BEA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6B61152"/>
    <w:multiLevelType w:val="hybridMultilevel"/>
    <w:tmpl w:val="3B20A064"/>
    <w:lvl w:ilvl="0" w:tplc="A0CC25C6">
      <w:start w:val="1"/>
      <w:numFmt w:val="taiwaneseCountingThousand"/>
      <w:lvlText w:val="%1、"/>
      <w:lvlJc w:val="left"/>
      <w:pPr>
        <w:ind w:left="1571" w:hanging="720"/>
      </w:pPr>
      <w:rPr>
        <w:rFonts w:hint="default"/>
        <w:lang w:val="en-US"/>
      </w:rPr>
    </w:lvl>
    <w:lvl w:ilvl="1" w:tplc="04090019" w:tentative="1">
      <w:start w:val="1"/>
      <w:numFmt w:val="ideographTraditional"/>
      <w:lvlText w:val="%2、"/>
      <w:lvlJc w:val="left"/>
      <w:pPr>
        <w:ind w:left="6206" w:hanging="480"/>
      </w:pPr>
    </w:lvl>
    <w:lvl w:ilvl="2" w:tplc="0409001B" w:tentative="1">
      <w:start w:val="1"/>
      <w:numFmt w:val="lowerRoman"/>
      <w:lvlText w:val="%3."/>
      <w:lvlJc w:val="right"/>
      <w:pPr>
        <w:ind w:left="6686" w:hanging="480"/>
      </w:pPr>
    </w:lvl>
    <w:lvl w:ilvl="3" w:tplc="0409000F" w:tentative="1">
      <w:start w:val="1"/>
      <w:numFmt w:val="decimal"/>
      <w:lvlText w:val="%4."/>
      <w:lvlJc w:val="left"/>
      <w:pPr>
        <w:ind w:left="7166" w:hanging="480"/>
      </w:pPr>
    </w:lvl>
    <w:lvl w:ilvl="4" w:tplc="04090019" w:tentative="1">
      <w:start w:val="1"/>
      <w:numFmt w:val="ideographTraditional"/>
      <w:lvlText w:val="%5、"/>
      <w:lvlJc w:val="left"/>
      <w:pPr>
        <w:ind w:left="7646" w:hanging="480"/>
      </w:pPr>
    </w:lvl>
    <w:lvl w:ilvl="5" w:tplc="0409001B" w:tentative="1">
      <w:start w:val="1"/>
      <w:numFmt w:val="lowerRoman"/>
      <w:lvlText w:val="%6."/>
      <w:lvlJc w:val="right"/>
      <w:pPr>
        <w:ind w:left="8126" w:hanging="480"/>
      </w:pPr>
    </w:lvl>
    <w:lvl w:ilvl="6" w:tplc="0409000F" w:tentative="1">
      <w:start w:val="1"/>
      <w:numFmt w:val="decimal"/>
      <w:lvlText w:val="%7."/>
      <w:lvlJc w:val="left"/>
      <w:pPr>
        <w:ind w:left="8606" w:hanging="480"/>
      </w:pPr>
    </w:lvl>
    <w:lvl w:ilvl="7" w:tplc="04090019" w:tentative="1">
      <w:start w:val="1"/>
      <w:numFmt w:val="ideographTraditional"/>
      <w:lvlText w:val="%8、"/>
      <w:lvlJc w:val="left"/>
      <w:pPr>
        <w:ind w:left="9086" w:hanging="480"/>
      </w:pPr>
    </w:lvl>
    <w:lvl w:ilvl="8" w:tplc="0409001B" w:tentative="1">
      <w:start w:val="1"/>
      <w:numFmt w:val="lowerRoman"/>
      <w:lvlText w:val="%9."/>
      <w:lvlJc w:val="right"/>
      <w:pPr>
        <w:ind w:left="9566" w:hanging="480"/>
      </w:pPr>
    </w:lvl>
  </w:abstractNum>
  <w:abstractNum w:abstractNumId="39">
    <w:nsid w:val="6BA26353"/>
    <w:multiLevelType w:val="hybridMultilevel"/>
    <w:tmpl w:val="9990C2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1DC5D8B"/>
    <w:multiLevelType w:val="hybridMultilevel"/>
    <w:tmpl w:val="EB2EC33E"/>
    <w:lvl w:ilvl="0" w:tplc="D4FC89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36D6AA9"/>
    <w:multiLevelType w:val="hybridMultilevel"/>
    <w:tmpl w:val="0C14DA5A"/>
    <w:lvl w:ilvl="0" w:tplc="6986BEA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9186E06"/>
    <w:multiLevelType w:val="hybridMultilevel"/>
    <w:tmpl w:val="0400F3C8"/>
    <w:lvl w:ilvl="0" w:tplc="E69A29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35"/>
  </w:num>
  <w:num w:numId="3">
    <w:abstractNumId w:val="13"/>
  </w:num>
  <w:num w:numId="4">
    <w:abstractNumId w:val="33"/>
  </w:num>
  <w:num w:numId="5">
    <w:abstractNumId w:val="1"/>
  </w:num>
  <w:num w:numId="6">
    <w:abstractNumId w:val="20"/>
  </w:num>
  <w:num w:numId="7">
    <w:abstractNumId w:val="24"/>
  </w:num>
  <w:num w:numId="8">
    <w:abstractNumId w:val="34"/>
  </w:num>
  <w:num w:numId="9">
    <w:abstractNumId w:val="17"/>
  </w:num>
  <w:num w:numId="10">
    <w:abstractNumId w:val="11"/>
  </w:num>
  <w:num w:numId="11">
    <w:abstractNumId w:val="8"/>
  </w:num>
  <w:num w:numId="12">
    <w:abstractNumId w:val="40"/>
  </w:num>
  <w:num w:numId="13">
    <w:abstractNumId w:val="28"/>
  </w:num>
  <w:num w:numId="14">
    <w:abstractNumId w:val="42"/>
  </w:num>
  <w:num w:numId="15">
    <w:abstractNumId w:val="26"/>
  </w:num>
  <w:num w:numId="16">
    <w:abstractNumId w:val="41"/>
  </w:num>
  <w:num w:numId="17">
    <w:abstractNumId w:val="37"/>
  </w:num>
  <w:num w:numId="18">
    <w:abstractNumId w:val="32"/>
  </w:num>
  <w:num w:numId="19">
    <w:abstractNumId w:val="16"/>
  </w:num>
  <w:num w:numId="20">
    <w:abstractNumId w:val="23"/>
  </w:num>
  <w:num w:numId="21">
    <w:abstractNumId w:val="0"/>
  </w:num>
  <w:num w:numId="22">
    <w:abstractNumId w:val="5"/>
  </w:num>
  <w:num w:numId="23">
    <w:abstractNumId w:val="21"/>
  </w:num>
  <w:num w:numId="24">
    <w:abstractNumId w:val="39"/>
  </w:num>
  <w:num w:numId="25">
    <w:abstractNumId w:val="27"/>
  </w:num>
  <w:num w:numId="26">
    <w:abstractNumId w:val="29"/>
  </w:num>
  <w:num w:numId="27">
    <w:abstractNumId w:val="36"/>
  </w:num>
  <w:num w:numId="28">
    <w:abstractNumId w:val="9"/>
  </w:num>
  <w:num w:numId="29">
    <w:abstractNumId w:val="12"/>
  </w:num>
  <w:num w:numId="30">
    <w:abstractNumId w:val="15"/>
  </w:num>
  <w:num w:numId="31">
    <w:abstractNumId w:val="6"/>
  </w:num>
  <w:num w:numId="32">
    <w:abstractNumId w:val="7"/>
  </w:num>
  <w:num w:numId="33">
    <w:abstractNumId w:val="2"/>
  </w:num>
  <w:num w:numId="34">
    <w:abstractNumId w:val="25"/>
  </w:num>
  <w:num w:numId="35">
    <w:abstractNumId w:val="19"/>
  </w:num>
  <w:num w:numId="36">
    <w:abstractNumId w:val="38"/>
  </w:num>
  <w:num w:numId="37">
    <w:abstractNumId w:val="18"/>
  </w:num>
  <w:num w:numId="38">
    <w:abstractNumId w:val="10"/>
  </w:num>
  <w:num w:numId="39">
    <w:abstractNumId w:val="3"/>
  </w:num>
  <w:num w:numId="40">
    <w:abstractNumId w:val="31"/>
  </w:num>
  <w:num w:numId="41">
    <w:abstractNumId w:val="30"/>
  </w:num>
  <w:num w:numId="42">
    <w:abstractNumId w:val="31"/>
  </w:num>
  <w:num w:numId="43">
    <w:abstractNumId w:val="4"/>
  </w:num>
  <w:num w:numId="44">
    <w:abstractNumId w:val="2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ctiveWritingStyle w:appName="MSWord" w:lang="zh-TW" w:vendorID="64" w:dllVersion="131077" w:nlCheck="1" w:checkStyle="1"/>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35ED"/>
    <w:rsid w:val="000061AC"/>
    <w:rsid w:val="00023814"/>
    <w:rsid w:val="00023979"/>
    <w:rsid w:val="000435D0"/>
    <w:rsid w:val="00063213"/>
    <w:rsid w:val="000638E9"/>
    <w:rsid w:val="00065C3D"/>
    <w:rsid w:val="00077B59"/>
    <w:rsid w:val="00083B14"/>
    <w:rsid w:val="000A7EDC"/>
    <w:rsid w:val="000B15A4"/>
    <w:rsid w:val="000C2B3D"/>
    <w:rsid w:val="000E1B31"/>
    <w:rsid w:val="000E1BAA"/>
    <w:rsid w:val="001207B7"/>
    <w:rsid w:val="001210F3"/>
    <w:rsid w:val="00122C30"/>
    <w:rsid w:val="00124CEA"/>
    <w:rsid w:val="00125306"/>
    <w:rsid w:val="001256BF"/>
    <w:rsid w:val="00144ED9"/>
    <w:rsid w:val="001570CC"/>
    <w:rsid w:val="00164A79"/>
    <w:rsid w:val="00171685"/>
    <w:rsid w:val="00186FB8"/>
    <w:rsid w:val="00197219"/>
    <w:rsid w:val="001A73C9"/>
    <w:rsid w:val="001B2A3C"/>
    <w:rsid w:val="001C6089"/>
    <w:rsid w:val="001C61D6"/>
    <w:rsid w:val="001C626C"/>
    <w:rsid w:val="001F5CB7"/>
    <w:rsid w:val="00203E19"/>
    <w:rsid w:val="00207680"/>
    <w:rsid w:val="0021168F"/>
    <w:rsid w:val="00225932"/>
    <w:rsid w:val="0023646C"/>
    <w:rsid w:val="0023745B"/>
    <w:rsid w:val="00260B16"/>
    <w:rsid w:val="00281BA6"/>
    <w:rsid w:val="00293CB7"/>
    <w:rsid w:val="002A4691"/>
    <w:rsid w:val="002C02E3"/>
    <w:rsid w:val="002C0429"/>
    <w:rsid w:val="002C5D42"/>
    <w:rsid w:val="002C71FB"/>
    <w:rsid w:val="002D2EA3"/>
    <w:rsid w:val="00332255"/>
    <w:rsid w:val="00334C12"/>
    <w:rsid w:val="0033708C"/>
    <w:rsid w:val="00361F11"/>
    <w:rsid w:val="00363868"/>
    <w:rsid w:val="0036392E"/>
    <w:rsid w:val="00364369"/>
    <w:rsid w:val="00366C93"/>
    <w:rsid w:val="003948FC"/>
    <w:rsid w:val="003C1584"/>
    <w:rsid w:val="003C7EAA"/>
    <w:rsid w:val="003D6D44"/>
    <w:rsid w:val="003E7EBE"/>
    <w:rsid w:val="00426DA3"/>
    <w:rsid w:val="00430603"/>
    <w:rsid w:val="00441491"/>
    <w:rsid w:val="00441A7D"/>
    <w:rsid w:val="00460188"/>
    <w:rsid w:val="00462D98"/>
    <w:rsid w:val="004742E1"/>
    <w:rsid w:val="004820DC"/>
    <w:rsid w:val="00484FA2"/>
    <w:rsid w:val="00487221"/>
    <w:rsid w:val="004910AF"/>
    <w:rsid w:val="004A2F54"/>
    <w:rsid w:val="004B3952"/>
    <w:rsid w:val="004F42D7"/>
    <w:rsid w:val="004F43E4"/>
    <w:rsid w:val="005051A0"/>
    <w:rsid w:val="005107F6"/>
    <w:rsid w:val="005205A8"/>
    <w:rsid w:val="005321FD"/>
    <w:rsid w:val="00541FBA"/>
    <w:rsid w:val="00554BDA"/>
    <w:rsid w:val="005638DC"/>
    <w:rsid w:val="005648B4"/>
    <w:rsid w:val="00587D6A"/>
    <w:rsid w:val="005A1397"/>
    <w:rsid w:val="005A63B7"/>
    <w:rsid w:val="005B5A1C"/>
    <w:rsid w:val="005B7C2C"/>
    <w:rsid w:val="005C7D08"/>
    <w:rsid w:val="005F03AC"/>
    <w:rsid w:val="005F5867"/>
    <w:rsid w:val="00611DE8"/>
    <w:rsid w:val="006174DF"/>
    <w:rsid w:val="006208A5"/>
    <w:rsid w:val="0063351F"/>
    <w:rsid w:val="0065074A"/>
    <w:rsid w:val="006530E7"/>
    <w:rsid w:val="006639C9"/>
    <w:rsid w:val="0067691C"/>
    <w:rsid w:val="006A5C60"/>
    <w:rsid w:val="006B005F"/>
    <w:rsid w:val="006B02AB"/>
    <w:rsid w:val="006B5168"/>
    <w:rsid w:val="006C2ADD"/>
    <w:rsid w:val="006C5D9F"/>
    <w:rsid w:val="006C7C5D"/>
    <w:rsid w:val="006C7D15"/>
    <w:rsid w:val="00710AD3"/>
    <w:rsid w:val="00731A38"/>
    <w:rsid w:val="007504D0"/>
    <w:rsid w:val="00753013"/>
    <w:rsid w:val="00757C3B"/>
    <w:rsid w:val="00792EDF"/>
    <w:rsid w:val="00795196"/>
    <w:rsid w:val="00795A2B"/>
    <w:rsid w:val="007B0CE3"/>
    <w:rsid w:val="007C68E6"/>
    <w:rsid w:val="007D1FCD"/>
    <w:rsid w:val="007D67AD"/>
    <w:rsid w:val="007E5165"/>
    <w:rsid w:val="007F3C44"/>
    <w:rsid w:val="00801A9A"/>
    <w:rsid w:val="00807F34"/>
    <w:rsid w:val="00820D4E"/>
    <w:rsid w:val="00820DDD"/>
    <w:rsid w:val="00834814"/>
    <w:rsid w:val="008613D6"/>
    <w:rsid w:val="00864702"/>
    <w:rsid w:val="00873181"/>
    <w:rsid w:val="008748F2"/>
    <w:rsid w:val="00897EDF"/>
    <w:rsid w:val="008A3575"/>
    <w:rsid w:val="008C0FEF"/>
    <w:rsid w:val="008C18F5"/>
    <w:rsid w:val="008D761E"/>
    <w:rsid w:val="00902407"/>
    <w:rsid w:val="0090351F"/>
    <w:rsid w:val="0091692C"/>
    <w:rsid w:val="009217FA"/>
    <w:rsid w:val="00926B01"/>
    <w:rsid w:val="00933DCB"/>
    <w:rsid w:val="00956BA2"/>
    <w:rsid w:val="00966CD6"/>
    <w:rsid w:val="00973E6E"/>
    <w:rsid w:val="009951C3"/>
    <w:rsid w:val="00996A42"/>
    <w:rsid w:val="009D6673"/>
    <w:rsid w:val="009D77C0"/>
    <w:rsid w:val="009E2229"/>
    <w:rsid w:val="009F7C1C"/>
    <w:rsid w:val="00A148E2"/>
    <w:rsid w:val="00A246A8"/>
    <w:rsid w:val="00A46400"/>
    <w:rsid w:val="00A566C6"/>
    <w:rsid w:val="00A672DA"/>
    <w:rsid w:val="00A87BB7"/>
    <w:rsid w:val="00A94560"/>
    <w:rsid w:val="00A9663A"/>
    <w:rsid w:val="00AB3B31"/>
    <w:rsid w:val="00AD6581"/>
    <w:rsid w:val="00AD7F33"/>
    <w:rsid w:val="00AE6A63"/>
    <w:rsid w:val="00AF2FF4"/>
    <w:rsid w:val="00AF73A5"/>
    <w:rsid w:val="00B065C5"/>
    <w:rsid w:val="00B06D35"/>
    <w:rsid w:val="00B235ED"/>
    <w:rsid w:val="00B260D5"/>
    <w:rsid w:val="00B3074E"/>
    <w:rsid w:val="00B51593"/>
    <w:rsid w:val="00B65F7E"/>
    <w:rsid w:val="00B9499D"/>
    <w:rsid w:val="00BA29F0"/>
    <w:rsid w:val="00BC1E8A"/>
    <w:rsid w:val="00BD0B3C"/>
    <w:rsid w:val="00BD1AAF"/>
    <w:rsid w:val="00BE6E98"/>
    <w:rsid w:val="00BF7092"/>
    <w:rsid w:val="00C058D5"/>
    <w:rsid w:val="00C2759D"/>
    <w:rsid w:val="00C31CF7"/>
    <w:rsid w:val="00C43E2E"/>
    <w:rsid w:val="00C52C30"/>
    <w:rsid w:val="00C53118"/>
    <w:rsid w:val="00C57CEE"/>
    <w:rsid w:val="00C64352"/>
    <w:rsid w:val="00CA1CF6"/>
    <w:rsid w:val="00CD550A"/>
    <w:rsid w:val="00CE26A4"/>
    <w:rsid w:val="00CF0A63"/>
    <w:rsid w:val="00CF31B4"/>
    <w:rsid w:val="00CF4971"/>
    <w:rsid w:val="00D10243"/>
    <w:rsid w:val="00D2215D"/>
    <w:rsid w:val="00D31261"/>
    <w:rsid w:val="00D76C32"/>
    <w:rsid w:val="00D833BD"/>
    <w:rsid w:val="00DA23B9"/>
    <w:rsid w:val="00DB27B3"/>
    <w:rsid w:val="00DC3522"/>
    <w:rsid w:val="00DD63D1"/>
    <w:rsid w:val="00DD6CDA"/>
    <w:rsid w:val="00DD77BF"/>
    <w:rsid w:val="00DF02F4"/>
    <w:rsid w:val="00DF35EF"/>
    <w:rsid w:val="00DF38A9"/>
    <w:rsid w:val="00E16024"/>
    <w:rsid w:val="00E424DD"/>
    <w:rsid w:val="00E502AC"/>
    <w:rsid w:val="00E5475C"/>
    <w:rsid w:val="00E65D30"/>
    <w:rsid w:val="00E7512B"/>
    <w:rsid w:val="00E87BBB"/>
    <w:rsid w:val="00E87FF1"/>
    <w:rsid w:val="00E94076"/>
    <w:rsid w:val="00E945A4"/>
    <w:rsid w:val="00E9799F"/>
    <w:rsid w:val="00EA3948"/>
    <w:rsid w:val="00EC0AFA"/>
    <w:rsid w:val="00ED28F3"/>
    <w:rsid w:val="00EE594C"/>
    <w:rsid w:val="00EE60E5"/>
    <w:rsid w:val="00EF6769"/>
    <w:rsid w:val="00F03247"/>
    <w:rsid w:val="00F057F2"/>
    <w:rsid w:val="00F52E38"/>
    <w:rsid w:val="00F56FA9"/>
    <w:rsid w:val="00F767CC"/>
    <w:rsid w:val="00F8186E"/>
    <w:rsid w:val="00FA08D4"/>
    <w:rsid w:val="00FA2DF4"/>
    <w:rsid w:val="00FA6C50"/>
    <w:rsid w:val="00FB4CF4"/>
    <w:rsid w:val="00FC2B56"/>
    <w:rsid w:val="00FD13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05A8"/>
    <w:pPr>
      <w:widowControl w:val="0"/>
    </w:pPr>
    <w:rPr>
      <w:kern w:val="2"/>
      <w:sz w:val="24"/>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23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99"/>
    <w:qFormat/>
    <w:rsid w:val="006B5168"/>
    <w:pPr>
      <w:ind w:leftChars="200" w:left="480"/>
    </w:pPr>
  </w:style>
  <w:style w:type="paragraph" w:styleId="HTML">
    <w:name w:val="HTML Preformatted"/>
    <w:basedOn w:val="a0"/>
    <w:link w:val="HTML0"/>
    <w:uiPriority w:val="99"/>
    <w:rsid w:val="001A7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rPr>
  </w:style>
  <w:style w:type="character" w:customStyle="1" w:styleId="HTML0">
    <w:name w:val="HTML 預設格式 字元"/>
    <w:link w:val="HTML"/>
    <w:uiPriority w:val="99"/>
    <w:rsid w:val="001A73C9"/>
    <w:rPr>
      <w:rFonts w:ascii="細明體" w:eastAsia="細明體" w:hAnsi="細明體" w:cs="細明體"/>
      <w:kern w:val="0"/>
      <w:szCs w:val="24"/>
    </w:rPr>
  </w:style>
  <w:style w:type="paragraph" w:styleId="a6">
    <w:name w:val="header"/>
    <w:basedOn w:val="a0"/>
    <w:link w:val="a7"/>
    <w:uiPriority w:val="99"/>
    <w:unhideWhenUsed/>
    <w:rsid w:val="007D67AD"/>
    <w:pPr>
      <w:tabs>
        <w:tab w:val="center" w:pos="4153"/>
        <w:tab w:val="right" w:pos="8306"/>
      </w:tabs>
      <w:snapToGrid w:val="0"/>
    </w:pPr>
    <w:rPr>
      <w:kern w:val="0"/>
      <w:sz w:val="20"/>
      <w:szCs w:val="20"/>
      <w:lang/>
    </w:rPr>
  </w:style>
  <w:style w:type="character" w:customStyle="1" w:styleId="a7">
    <w:name w:val="頁首 字元"/>
    <w:link w:val="a6"/>
    <w:uiPriority w:val="99"/>
    <w:rsid w:val="007D67AD"/>
    <w:rPr>
      <w:sz w:val="20"/>
      <w:szCs w:val="20"/>
    </w:rPr>
  </w:style>
  <w:style w:type="paragraph" w:styleId="a8">
    <w:name w:val="footer"/>
    <w:basedOn w:val="a0"/>
    <w:link w:val="a9"/>
    <w:uiPriority w:val="99"/>
    <w:unhideWhenUsed/>
    <w:rsid w:val="007D67AD"/>
    <w:pPr>
      <w:tabs>
        <w:tab w:val="center" w:pos="4153"/>
        <w:tab w:val="right" w:pos="8306"/>
      </w:tabs>
      <w:snapToGrid w:val="0"/>
    </w:pPr>
    <w:rPr>
      <w:kern w:val="0"/>
      <w:sz w:val="20"/>
      <w:szCs w:val="20"/>
      <w:lang/>
    </w:rPr>
  </w:style>
  <w:style w:type="character" w:customStyle="1" w:styleId="a9">
    <w:name w:val="頁尾 字元"/>
    <w:link w:val="a8"/>
    <w:uiPriority w:val="99"/>
    <w:rsid w:val="007D67AD"/>
    <w:rPr>
      <w:sz w:val="20"/>
      <w:szCs w:val="20"/>
    </w:rPr>
  </w:style>
  <w:style w:type="paragraph" w:customStyle="1" w:styleId="a">
    <w:name w:val="分項段落"/>
    <w:basedOn w:val="a0"/>
    <w:rsid w:val="005321FD"/>
    <w:pPr>
      <w:numPr>
        <w:numId w:val="40"/>
      </w:numPr>
      <w:snapToGrid w:val="0"/>
      <w:spacing w:line="360" w:lineRule="auto"/>
      <w:jc w:val="both"/>
      <w:textAlignment w:val="baseline"/>
    </w:pPr>
    <w:rPr>
      <w:rFonts w:ascii="Times New Roman" w:eastAsia="標楷體" w:hAnsi="Times New Roman"/>
      <w:noProof/>
      <w:kern w:val="0"/>
      <w:sz w:val="36"/>
      <w:szCs w:val="20"/>
    </w:rPr>
  </w:style>
  <w:style w:type="paragraph" w:customStyle="1" w:styleId="Default">
    <w:name w:val="Default"/>
    <w:rsid w:val="00B51593"/>
    <w:pPr>
      <w:widowControl w:val="0"/>
      <w:autoSpaceDE w:val="0"/>
      <w:autoSpaceDN w:val="0"/>
      <w:adjustRightInd w:val="0"/>
      <w:spacing w:line="400" w:lineRule="exact"/>
    </w:pPr>
    <w:rPr>
      <w:rFonts w:ascii="標楷體" w:eastAsia="標楷體" w:hAnsi="Times New Roman" w:cs="標楷體"/>
      <w:color w:val="000000"/>
      <w:sz w:val="24"/>
      <w:szCs w:val="24"/>
    </w:rPr>
  </w:style>
  <w:style w:type="paragraph" w:styleId="aa">
    <w:name w:val="Balloon Text"/>
    <w:basedOn w:val="a0"/>
    <w:link w:val="ab"/>
    <w:uiPriority w:val="99"/>
    <w:semiHidden/>
    <w:unhideWhenUsed/>
    <w:rsid w:val="00EC0AFA"/>
    <w:rPr>
      <w:rFonts w:ascii="Cambria" w:hAnsi="Cambria"/>
      <w:sz w:val="18"/>
      <w:szCs w:val="18"/>
      <w:lang/>
    </w:rPr>
  </w:style>
  <w:style w:type="character" w:customStyle="1" w:styleId="ab">
    <w:name w:val="註解方塊文字 字元"/>
    <w:link w:val="aa"/>
    <w:uiPriority w:val="99"/>
    <w:semiHidden/>
    <w:rsid w:val="00EC0AFA"/>
    <w:rPr>
      <w:rFonts w:ascii="Cambria" w:eastAsia="新細明體" w:hAnsi="Cambria" w:cs="Times New Roman"/>
      <w:kern w:val="2"/>
      <w:sz w:val="18"/>
      <w:szCs w:val="18"/>
    </w:rPr>
  </w:style>
  <w:style w:type="character" w:styleId="ac">
    <w:name w:val="Hyperlink"/>
    <w:basedOn w:val="a1"/>
    <w:uiPriority w:val="99"/>
    <w:semiHidden/>
    <w:unhideWhenUsed/>
    <w:rsid w:val="00203E19"/>
    <w:rPr>
      <w:rFonts w:ascii="Verdana" w:hAnsi="Verdana" w:hint="default"/>
      <w:strike w:val="0"/>
      <w:dstrike w:val="0"/>
      <w:color w:val="0000A2"/>
      <w:sz w:val="12"/>
      <w:szCs w:val="12"/>
      <w:u w:val="none"/>
      <w:effect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662</Characters>
  <Application>Microsoft Office Word</Application>
  <DocSecurity>0</DocSecurity>
  <Lines>5</Lines>
  <Paragraphs>1</Paragraphs>
  <ScaleCrop>false</ScaleCrop>
  <Company>HOME</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dcterms:created xsi:type="dcterms:W3CDTF">2014-01-27T08:42:00Z</dcterms:created>
  <dcterms:modified xsi:type="dcterms:W3CDTF">2014-02-05T02:22:00Z</dcterms:modified>
</cp:coreProperties>
</file>