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60501" w14:textId="10C766EF" w:rsidR="00FC76AD" w:rsidRDefault="00FC76AD" w:rsidP="00CF6EA4">
      <w:pPr>
        <w:spacing w:line="360" w:lineRule="exact"/>
        <w:jc w:val="center"/>
        <w:rPr>
          <w:rFonts w:eastAsia="標楷體"/>
          <w:b/>
          <w:bCs/>
          <w:color w:val="000000"/>
          <w:sz w:val="32"/>
        </w:rPr>
      </w:pPr>
      <w:bookmarkStart w:id="0" w:name="_GoBack"/>
      <w:bookmarkEnd w:id="0"/>
      <w:r w:rsidRPr="00DA58A4">
        <w:rPr>
          <w:rFonts w:eastAsia="標楷體"/>
          <w:b/>
          <w:bCs/>
          <w:color w:val="000000"/>
          <w:sz w:val="32"/>
        </w:rPr>
        <w:t>高雄醫學大學餐點費報支標準</w:t>
      </w:r>
    </w:p>
    <w:p w14:paraId="4CC48D5B" w14:textId="61E1A23F" w:rsidR="002260F7" w:rsidRPr="00CF6EA4" w:rsidRDefault="002260F7" w:rsidP="00CF6EA4">
      <w:pPr>
        <w:spacing w:line="360" w:lineRule="exact"/>
        <w:jc w:val="center"/>
        <w:rPr>
          <w:rFonts w:eastAsia="標楷體"/>
          <w:b/>
          <w:bCs/>
          <w:sz w:val="30"/>
          <w:szCs w:val="30"/>
        </w:rPr>
      </w:pPr>
      <w:r w:rsidRPr="00CF6EA4">
        <w:rPr>
          <w:rFonts w:eastAsia="標楷體"/>
          <w:b/>
          <w:bCs/>
          <w:sz w:val="30"/>
          <w:szCs w:val="30"/>
        </w:rPr>
        <w:t xml:space="preserve">Kaohsiung Medical University Meal Expense </w:t>
      </w:r>
      <w:bookmarkStart w:id="1" w:name="_Hlk149521951"/>
      <w:r w:rsidRPr="00CF6EA4">
        <w:rPr>
          <w:rFonts w:eastAsia="標楷體"/>
          <w:b/>
          <w:bCs/>
          <w:sz w:val="30"/>
          <w:szCs w:val="30"/>
        </w:rPr>
        <w:t>Reimbursement</w:t>
      </w:r>
      <w:bookmarkEnd w:id="1"/>
      <w:r w:rsidRPr="00CF6EA4">
        <w:rPr>
          <w:rFonts w:eastAsia="標楷體"/>
          <w:b/>
          <w:bCs/>
          <w:sz w:val="30"/>
          <w:szCs w:val="30"/>
        </w:rPr>
        <w:t xml:space="preserve"> Standard</w:t>
      </w:r>
      <w:r w:rsidR="001A125B" w:rsidRPr="00CF6EA4">
        <w:rPr>
          <w:rFonts w:eastAsia="標楷體"/>
          <w:b/>
          <w:bCs/>
          <w:sz w:val="30"/>
          <w:szCs w:val="30"/>
        </w:rPr>
        <w:t>s</w:t>
      </w:r>
    </w:p>
    <w:p w14:paraId="5DBAA7FE" w14:textId="77777777" w:rsidR="00C658B1" w:rsidRDefault="00C658B1" w:rsidP="00C658B1">
      <w:pPr>
        <w:spacing w:line="0" w:lineRule="atLeast"/>
        <w:ind w:firstLineChars="2200" w:firstLine="5280"/>
        <w:rPr>
          <w:rFonts w:eastAsia="標楷體"/>
        </w:rPr>
      </w:pPr>
    </w:p>
    <w:p w14:paraId="5CCB90B1" w14:textId="606B2C46" w:rsidR="00DA58A4" w:rsidRPr="00CF6EA4" w:rsidRDefault="00C658B1" w:rsidP="00CF6EA4">
      <w:pPr>
        <w:spacing w:line="160" w:lineRule="exact"/>
        <w:ind w:firstLineChars="1900" w:firstLine="3040"/>
        <w:jc w:val="right"/>
        <w:rPr>
          <w:rFonts w:eastAsia="標楷體"/>
          <w:color w:val="000000" w:themeColor="text1"/>
          <w:sz w:val="16"/>
          <w:szCs w:val="16"/>
        </w:rPr>
      </w:pPr>
      <w:r w:rsidRPr="00CF6EA4">
        <w:rPr>
          <w:rFonts w:eastAsia="標楷體"/>
          <w:color w:val="000000" w:themeColor="text1"/>
          <w:sz w:val="16"/>
          <w:szCs w:val="16"/>
        </w:rPr>
        <w:t>1</w:t>
      </w:r>
      <w:r w:rsidR="00DA58A4" w:rsidRPr="00CF6EA4">
        <w:rPr>
          <w:rFonts w:eastAsia="標楷體"/>
          <w:color w:val="000000" w:themeColor="text1"/>
          <w:sz w:val="16"/>
          <w:szCs w:val="16"/>
        </w:rPr>
        <w:t xml:space="preserve">12.06.15 </w:t>
      </w:r>
      <w:r w:rsidR="00EB5919" w:rsidRPr="00CF6EA4">
        <w:rPr>
          <w:rFonts w:eastAsia="標楷體"/>
          <w:color w:val="000000" w:themeColor="text1"/>
          <w:sz w:val="16"/>
          <w:szCs w:val="16"/>
        </w:rPr>
        <w:t xml:space="preserve"> </w:t>
      </w:r>
      <w:r w:rsidR="00DA58A4" w:rsidRPr="00CF6EA4">
        <w:rPr>
          <w:rFonts w:eastAsia="標楷體"/>
          <w:color w:val="000000" w:themeColor="text1"/>
          <w:sz w:val="16"/>
          <w:szCs w:val="16"/>
        </w:rPr>
        <w:t>111</w:t>
      </w:r>
      <w:r w:rsidR="00DA58A4" w:rsidRPr="00CF6EA4">
        <w:rPr>
          <w:rFonts w:eastAsia="標楷體"/>
          <w:color w:val="000000" w:themeColor="text1"/>
          <w:sz w:val="16"/>
          <w:szCs w:val="16"/>
        </w:rPr>
        <w:t>學年度第</w:t>
      </w:r>
      <w:r w:rsidR="00DA58A4" w:rsidRPr="00CF6EA4">
        <w:rPr>
          <w:rFonts w:eastAsia="標楷體"/>
          <w:color w:val="000000" w:themeColor="text1"/>
          <w:sz w:val="16"/>
          <w:szCs w:val="16"/>
        </w:rPr>
        <w:t>10</w:t>
      </w:r>
      <w:r w:rsidR="00DA58A4" w:rsidRPr="00CF6EA4">
        <w:rPr>
          <w:rFonts w:eastAsia="標楷體"/>
          <w:color w:val="000000" w:themeColor="text1"/>
          <w:sz w:val="16"/>
          <w:szCs w:val="16"/>
        </w:rPr>
        <w:t>次行政會議通過</w:t>
      </w:r>
      <w:r w:rsidR="009514A5" w:rsidRPr="00CF6EA4">
        <w:rPr>
          <w:rFonts w:eastAsia="標楷體" w:hint="eastAsia"/>
          <w:color w:val="000000" w:themeColor="text1"/>
          <w:sz w:val="16"/>
          <w:szCs w:val="16"/>
        </w:rPr>
        <w:t>，自</w:t>
      </w:r>
      <w:r w:rsidR="009514A5" w:rsidRPr="00CF6EA4">
        <w:rPr>
          <w:rFonts w:eastAsia="標楷體" w:hint="eastAsia"/>
          <w:color w:val="000000" w:themeColor="text1"/>
          <w:sz w:val="16"/>
          <w:szCs w:val="16"/>
        </w:rPr>
        <w:t>112</w:t>
      </w:r>
      <w:r w:rsidR="009514A5" w:rsidRPr="00CF6EA4">
        <w:rPr>
          <w:rFonts w:eastAsia="標楷體" w:hint="eastAsia"/>
          <w:color w:val="000000" w:themeColor="text1"/>
          <w:sz w:val="16"/>
          <w:szCs w:val="16"/>
        </w:rPr>
        <w:t>學年度起實施</w:t>
      </w:r>
    </w:p>
    <w:p w14:paraId="0A8E73B7" w14:textId="3DF5CCA0" w:rsidR="002260F7" w:rsidRPr="00CF6EA4" w:rsidRDefault="002260F7" w:rsidP="00CF6EA4">
      <w:pPr>
        <w:spacing w:line="160" w:lineRule="exact"/>
        <w:ind w:right="-59"/>
        <w:jc w:val="right"/>
        <w:rPr>
          <w:rFonts w:eastAsia="標楷體"/>
          <w:color w:val="000000" w:themeColor="text1"/>
          <w:sz w:val="16"/>
          <w:szCs w:val="16"/>
        </w:rPr>
      </w:pPr>
      <w:r w:rsidRPr="00CF6EA4">
        <w:rPr>
          <w:rFonts w:eastAsia="標楷體"/>
          <w:color w:val="000000" w:themeColor="text1"/>
          <w:sz w:val="16"/>
          <w:szCs w:val="16"/>
        </w:rPr>
        <w:t>2023.06.15 Passed in the 10</w:t>
      </w:r>
      <w:r w:rsidRPr="00CF6EA4">
        <w:rPr>
          <w:rFonts w:eastAsia="標楷體"/>
          <w:color w:val="000000" w:themeColor="text1"/>
          <w:sz w:val="16"/>
          <w:szCs w:val="16"/>
          <w:vertAlign w:val="superscript"/>
        </w:rPr>
        <w:t>th</w:t>
      </w:r>
      <w:r w:rsidRPr="00CF6EA4">
        <w:rPr>
          <w:rFonts w:eastAsia="標楷體"/>
          <w:color w:val="000000" w:themeColor="text1"/>
          <w:sz w:val="16"/>
          <w:szCs w:val="16"/>
        </w:rPr>
        <w:t xml:space="preserve"> Administrative Meeting of the 111</w:t>
      </w:r>
      <w:r w:rsidRPr="00CF6EA4">
        <w:rPr>
          <w:rFonts w:eastAsia="標楷體"/>
          <w:color w:val="000000" w:themeColor="text1"/>
          <w:sz w:val="16"/>
          <w:szCs w:val="16"/>
          <w:vertAlign w:val="superscript"/>
        </w:rPr>
        <w:t>st</w:t>
      </w:r>
      <w:r w:rsidRPr="00CF6EA4">
        <w:rPr>
          <w:rFonts w:eastAsia="標楷體"/>
          <w:color w:val="000000" w:themeColor="text1"/>
          <w:sz w:val="16"/>
          <w:szCs w:val="16"/>
        </w:rPr>
        <w:t xml:space="preserve"> academic year, and implemented from the 112</w:t>
      </w:r>
      <w:r w:rsidRPr="00CF6EA4">
        <w:rPr>
          <w:rFonts w:eastAsia="標楷體"/>
          <w:color w:val="000000" w:themeColor="text1"/>
          <w:sz w:val="16"/>
          <w:szCs w:val="16"/>
          <w:vertAlign w:val="superscript"/>
        </w:rPr>
        <w:t>th</w:t>
      </w:r>
      <w:r w:rsidRPr="00CF6EA4">
        <w:rPr>
          <w:rFonts w:eastAsia="標楷體"/>
          <w:color w:val="000000" w:themeColor="text1"/>
          <w:sz w:val="16"/>
          <w:szCs w:val="16"/>
        </w:rPr>
        <w:t xml:space="preserve"> academic year onward</w:t>
      </w:r>
    </w:p>
    <w:p w14:paraId="087AB2D7" w14:textId="55D0182C" w:rsidR="00C658B1" w:rsidRPr="00CF6EA4" w:rsidRDefault="00AD5CBE" w:rsidP="00CF6EA4">
      <w:pPr>
        <w:spacing w:line="160" w:lineRule="exact"/>
        <w:ind w:firstLineChars="1900" w:firstLine="3040"/>
        <w:jc w:val="right"/>
        <w:rPr>
          <w:rFonts w:eastAsia="標楷體"/>
          <w:color w:val="000000" w:themeColor="text1"/>
          <w:sz w:val="16"/>
          <w:szCs w:val="16"/>
        </w:rPr>
      </w:pPr>
      <w:r w:rsidRPr="00CF6EA4">
        <w:rPr>
          <w:rFonts w:eastAsia="標楷體"/>
          <w:color w:val="000000" w:themeColor="text1"/>
          <w:sz w:val="16"/>
          <w:szCs w:val="16"/>
        </w:rPr>
        <w:t>112.07.</w:t>
      </w:r>
      <w:r w:rsidR="000A7E54" w:rsidRPr="00CF6EA4">
        <w:rPr>
          <w:rFonts w:eastAsia="標楷體"/>
          <w:color w:val="000000" w:themeColor="text1"/>
          <w:sz w:val="16"/>
          <w:szCs w:val="16"/>
        </w:rPr>
        <w:t>07</w:t>
      </w:r>
      <w:r w:rsidR="00C658B1" w:rsidRPr="00CF6EA4">
        <w:rPr>
          <w:rFonts w:eastAsia="標楷體"/>
          <w:color w:val="FF0000"/>
          <w:sz w:val="16"/>
          <w:szCs w:val="16"/>
        </w:rPr>
        <w:t xml:space="preserve"> </w:t>
      </w:r>
      <w:r w:rsidRPr="00CF6EA4">
        <w:rPr>
          <w:rFonts w:eastAsia="標楷體"/>
          <w:color w:val="FF0000"/>
          <w:sz w:val="16"/>
          <w:szCs w:val="16"/>
        </w:rPr>
        <w:t xml:space="preserve"> </w:t>
      </w:r>
      <w:r w:rsidRPr="00CF6EA4">
        <w:rPr>
          <w:rFonts w:eastAsia="標楷體"/>
          <w:color w:val="000000" w:themeColor="text1"/>
          <w:sz w:val="16"/>
          <w:szCs w:val="16"/>
        </w:rPr>
        <w:t>高醫會字第</w:t>
      </w:r>
      <w:r w:rsidR="00C658B1" w:rsidRPr="00CF6EA4">
        <w:rPr>
          <w:rFonts w:eastAsia="標楷體"/>
          <w:color w:val="000000" w:themeColor="text1"/>
          <w:sz w:val="16"/>
          <w:szCs w:val="16"/>
        </w:rPr>
        <w:t>1121102160</w:t>
      </w:r>
      <w:r w:rsidR="00C658B1" w:rsidRPr="00CF6EA4">
        <w:rPr>
          <w:rFonts w:eastAsia="標楷體"/>
          <w:color w:val="000000" w:themeColor="text1"/>
          <w:sz w:val="16"/>
          <w:szCs w:val="16"/>
        </w:rPr>
        <w:t>號函</w:t>
      </w:r>
      <w:r w:rsidRPr="00CF6EA4">
        <w:rPr>
          <w:rFonts w:eastAsia="標楷體"/>
          <w:color w:val="000000" w:themeColor="text1"/>
          <w:sz w:val="16"/>
          <w:szCs w:val="16"/>
        </w:rPr>
        <w:t>公</w:t>
      </w:r>
      <w:r w:rsidR="00C658B1" w:rsidRPr="00CF6EA4">
        <w:rPr>
          <w:rFonts w:eastAsia="標楷體"/>
          <w:color w:val="000000" w:themeColor="text1"/>
          <w:sz w:val="16"/>
          <w:szCs w:val="16"/>
        </w:rPr>
        <w:t>布</w:t>
      </w:r>
      <w:r w:rsidRPr="00CF6EA4">
        <w:rPr>
          <w:rFonts w:eastAsia="標楷體"/>
          <w:color w:val="000000" w:themeColor="text1"/>
          <w:sz w:val="16"/>
          <w:szCs w:val="16"/>
        </w:rPr>
        <w:t>，自</w:t>
      </w:r>
      <w:r w:rsidRPr="00CF6EA4">
        <w:rPr>
          <w:rFonts w:eastAsia="標楷體"/>
          <w:color w:val="000000" w:themeColor="text1"/>
          <w:sz w:val="16"/>
          <w:szCs w:val="16"/>
        </w:rPr>
        <w:t>112</w:t>
      </w:r>
      <w:r w:rsidRPr="00CF6EA4">
        <w:rPr>
          <w:rFonts w:eastAsia="標楷體"/>
          <w:color w:val="000000" w:themeColor="text1"/>
          <w:sz w:val="16"/>
          <w:szCs w:val="16"/>
        </w:rPr>
        <w:t>學年度起實施</w:t>
      </w:r>
    </w:p>
    <w:p w14:paraId="2B3C41F4" w14:textId="7448330C" w:rsidR="002260F7" w:rsidRPr="00CF6EA4" w:rsidRDefault="002260F7" w:rsidP="00CF6EA4">
      <w:pPr>
        <w:spacing w:line="160" w:lineRule="exact"/>
        <w:ind w:right="-59"/>
        <w:jc w:val="right"/>
        <w:rPr>
          <w:rFonts w:eastAsia="標楷體"/>
          <w:sz w:val="16"/>
          <w:szCs w:val="16"/>
        </w:rPr>
      </w:pPr>
      <w:r w:rsidRPr="00CF6EA4">
        <w:rPr>
          <w:rFonts w:eastAsia="標楷體"/>
          <w:color w:val="000000" w:themeColor="text1"/>
          <w:sz w:val="16"/>
          <w:szCs w:val="16"/>
        </w:rPr>
        <w:t>2023.07.07</w:t>
      </w:r>
      <w:r w:rsidRPr="00CF6EA4">
        <w:rPr>
          <w:rFonts w:eastAsia="標楷體"/>
          <w:sz w:val="16"/>
          <w:szCs w:val="16"/>
        </w:rPr>
        <w:t xml:space="preserve"> Announced in the GaoYiHuiZi </w:t>
      </w:r>
      <w:r w:rsidR="00CF6EA4">
        <w:rPr>
          <w:rFonts w:eastAsia="標楷體"/>
          <w:sz w:val="16"/>
          <w:szCs w:val="16"/>
        </w:rPr>
        <w:t xml:space="preserve">No. </w:t>
      </w:r>
      <w:r w:rsidRPr="00CF6EA4">
        <w:rPr>
          <w:rFonts w:eastAsia="標楷體"/>
          <w:color w:val="000000" w:themeColor="text1"/>
          <w:sz w:val="16"/>
          <w:szCs w:val="16"/>
        </w:rPr>
        <w:t>1121102160</w:t>
      </w:r>
      <w:r w:rsidRPr="00CF6EA4">
        <w:rPr>
          <w:rFonts w:eastAsia="標楷體"/>
          <w:sz w:val="16"/>
          <w:szCs w:val="16"/>
        </w:rPr>
        <w:t xml:space="preserve"> Letter, and implemented from the 112</w:t>
      </w:r>
      <w:r w:rsidRPr="00CF6EA4">
        <w:rPr>
          <w:rFonts w:eastAsia="標楷體"/>
          <w:sz w:val="16"/>
          <w:szCs w:val="16"/>
          <w:vertAlign w:val="superscript"/>
        </w:rPr>
        <w:t>th</w:t>
      </w:r>
      <w:r w:rsidRPr="00CF6EA4">
        <w:rPr>
          <w:rFonts w:eastAsia="標楷體"/>
          <w:sz w:val="16"/>
          <w:szCs w:val="16"/>
        </w:rPr>
        <w:t xml:space="preserve"> academic year onward</w:t>
      </w:r>
    </w:p>
    <w:p w14:paraId="662BA218" w14:textId="77777777" w:rsidR="00E9274D" w:rsidRPr="00E9274D" w:rsidRDefault="00E9274D" w:rsidP="00E9274D">
      <w:pPr>
        <w:spacing w:line="0" w:lineRule="atLeast"/>
        <w:ind w:firstLineChars="2300" w:firstLine="5520"/>
        <w:rPr>
          <w:rFonts w:eastAsia="標楷體"/>
        </w:rPr>
      </w:pPr>
    </w:p>
    <w:p w14:paraId="32F65134" w14:textId="1F652B8C" w:rsidR="00FC76AD" w:rsidRDefault="00FC76AD" w:rsidP="00DA58A4">
      <w:pPr>
        <w:pStyle w:val="a3"/>
        <w:numPr>
          <w:ilvl w:val="0"/>
          <w:numId w:val="1"/>
        </w:numPr>
        <w:spacing w:afterLines="50" w:after="180"/>
        <w:ind w:leftChars="0"/>
        <w:rPr>
          <w:rFonts w:eastAsia="標楷體"/>
          <w:bCs/>
          <w:color w:val="000000"/>
        </w:rPr>
      </w:pPr>
      <w:r w:rsidRPr="00DA58A4">
        <w:rPr>
          <w:rFonts w:eastAsia="標楷體"/>
          <w:bCs/>
          <w:color w:val="000000"/>
        </w:rPr>
        <w:t>本校辦理各項會議、講習、訓練或研討（習）會，其會議或活動報支餐點費，依本報支標準辦理。</w:t>
      </w:r>
    </w:p>
    <w:p w14:paraId="074461A5" w14:textId="2907BC7D" w:rsidR="00534483" w:rsidRPr="00534483" w:rsidRDefault="00534483" w:rsidP="0044700F">
      <w:pPr>
        <w:spacing w:afterLines="50" w:after="180"/>
        <w:ind w:left="991" w:hangingChars="413" w:hanging="991"/>
        <w:rPr>
          <w:rFonts w:eastAsia="標楷體"/>
          <w:bCs/>
          <w:color w:val="000000"/>
        </w:rPr>
      </w:pPr>
      <w:r>
        <w:rPr>
          <w:rFonts w:eastAsia="標楷體"/>
          <w:bCs/>
          <w:color w:val="000000" w:themeColor="text1"/>
        </w:rPr>
        <w:t>Article 1</w:t>
      </w:r>
      <w:r w:rsidR="007D7F43" w:rsidRPr="007D7F43">
        <w:t xml:space="preserve"> </w:t>
      </w:r>
      <w:r w:rsidR="007D7F43" w:rsidRPr="007D7F43">
        <w:rPr>
          <w:rFonts w:eastAsia="標楷體"/>
          <w:bCs/>
          <w:color w:val="000000" w:themeColor="text1"/>
        </w:rPr>
        <w:t xml:space="preserve">For all meetings, lectures, training sessions, or seminars hosted by </w:t>
      </w:r>
      <w:r w:rsidR="00CF6EA4">
        <w:rPr>
          <w:rFonts w:eastAsia="標楷體"/>
          <w:bCs/>
          <w:color w:val="000000" w:themeColor="text1"/>
        </w:rPr>
        <w:t>the school</w:t>
      </w:r>
      <w:r w:rsidR="007D7F43" w:rsidRPr="007D7F43">
        <w:rPr>
          <w:rFonts w:eastAsia="標楷體"/>
          <w:bCs/>
          <w:color w:val="000000" w:themeColor="text1"/>
        </w:rPr>
        <w:t>, meal expenses related to these meetings or activities shall be reimbursed in accordance with th</w:t>
      </w:r>
      <w:r w:rsidR="001A125B">
        <w:rPr>
          <w:rFonts w:eastAsia="標楷體"/>
          <w:bCs/>
          <w:color w:val="000000" w:themeColor="text1"/>
        </w:rPr>
        <w:t>ese</w:t>
      </w:r>
      <w:r w:rsidR="0044700F">
        <w:rPr>
          <w:rFonts w:eastAsia="標楷體"/>
          <w:bCs/>
          <w:color w:val="000000" w:themeColor="text1"/>
        </w:rPr>
        <w:t xml:space="preserve"> </w:t>
      </w:r>
      <w:r w:rsidR="007D7F43" w:rsidRPr="007D7F43">
        <w:rPr>
          <w:rFonts w:eastAsia="標楷體"/>
          <w:bCs/>
          <w:color w:val="000000" w:themeColor="text1"/>
        </w:rPr>
        <w:t>reimbursement standard</w:t>
      </w:r>
      <w:r w:rsidR="001A125B">
        <w:rPr>
          <w:rFonts w:eastAsia="標楷體"/>
          <w:bCs/>
          <w:color w:val="000000" w:themeColor="text1"/>
        </w:rPr>
        <w:t>s</w:t>
      </w:r>
      <w:r w:rsidR="007D7F43" w:rsidRPr="007D7F43">
        <w:rPr>
          <w:rFonts w:eastAsia="標楷體"/>
          <w:bCs/>
          <w:color w:val="000000" w:themeColor="text1"/>
        </w:rPr>
        <w:t>.</w:t>
      </w:r>
    </w:p>
    <w:p w14:paraId="2E96139B" w14:textId="6847848E" w:rsidR="00FC76AD" w:rsidRPr="00534483" w:rsidRDefault="00FC76AD" w:rsidP="00DA58A4">
      <w:pPr>
        <w:pStyle w:val="a3"/>
        <w:numPr>
          <w:ilvl w:val="0"/>
          <w:numId w:val="1"/>
        </w:numPr>
        <w:spacing w:afterLines="50" w:after="180"/>
        <w:ind w:leftChars="0"/>
        <w:rPr>
          <w:rFonts w:eastAsia="標楷體"/>
        </w:rPr>
      </w:pPr>
      <w:r w:rsidRPr="00DA58A4">
        <w:rPr>
          <w:rFonts w:eastAsia="標楷體"/>
          <w:bCs/>
          <w:color w:val="000000"/>
        </w:rPr>
        <w:t>為力行儉約、環保並求合宜，各項會議或活動以不供應餐點為原則，但會議時間較長影響用餐時間或邀請外部專家學者、外賓與會，或性質較為特殊者，則可由各單位視實際需要於預算額度內提供點心、水果或餐盒。</w:t>
      </w:r>
    </w:p>
    <w:p w14:paraId="1AB52E14" w14:textId="737C17C4" w:rsidR="00534483" w:rsidRPr="0044700F" w:rsidRDefault="00534483" w:rsidP="0044700F">
      <w:pPr>
        <w:spacing w:afterLines="50" w:after="180"/>
        <w:ind w:left="991" w:hangingChars="413" w:hanging="991"/>
        <w:rPr>
          <w:rFonts w:eastAsia="標楷體"/>
          <w:bCs/>
          <w:color w:val="000000" w:themeColor="text1"/>
        </w:rPr>
      </w:pPr>
      <w:r>
        <w:rPr>
          <w:rFonts w:eastAsia="標楷體"/>
          <w:bCs/>
          <w:color w:val="000000" w:themeColor="text1"/>
        </w:rPr>
        <w:t>Article 2</w:t>
      </w:r>
      <w:r w:rsidR="00035C96" w:rsidRPr="0044700F">
        <w:rPr>
          <w:rFonts w:eastAsia="標楷體"/>
          <w:bCs/>
          <w:color w:val="000000" w:themeColor="text1"/>
        </w:rPr>
        <w:t xml:space="preserve"> </w:t>
      </w:r>
      <w:r w:rsidR="00035C96" w:rsidRPr="00035C96">
        <w:rPr>
          <w:rFonts w:eastAsia="標楷體"/>
          <w:bCs/>
          <w:color w:val="000000" w:themeColor="text1"/>
        </w:rPr>
        <w:t>In order to promote frugality, environmental protection, and appropriateness, meals are</w:t>
      </w:r>
      <w:r w:rsidR="0044700F">
        <w:rPr>
          <w:rFonts w:eastAsia="標楷體"/>
          <w:bCs/>
          <w:color w:val="000000" w:themeColor="text1"/>
        </w:rPr>
        <w:t xml:space="preserve"> </w:t>
      </w:r>
      <w:r w:rsidR="00035C96" w:rsidRPr="00035C96">
        <w:rPr>
          <w:rFonts w:eastAsia="標楷體"/>
          <w:bCs/>
          <w:color w:val="000000" w:themeColor="text1"/>
        </w:rPr>
        <w:t>generally not provided at meetings or events. However, if the meeting is long enough to affect meal times, or if external experts, scholars, or guests are invited, or if the meeting is of a special nature, then each unit may provide snacks, fruits, or boxed meals within the budget.</w:t>
      </w:r>
    </w:p>
    <w:p w14:paraId="4E7AE15F" w14:textId="77777777" w:rsidR="0020595B" w:rsidRDefault="0020595B" w:rsidP="00DA58A4">
      <w:pPr>
        <w:pStyle w:val="a3"/>
        <w:numPr>
          <w:ilvl w:val="0"/>
          <w:numId w:val="1"/>
        </w:numPr>
        <w:ind w:leftChars="0"/>
        <w:rPr>
          <w:rFonts w:eastAsia="標楷體"/>
        </w:rPr>
      </w:pPr>
      <w:r w:rsidRPr="00DA58A4">
        <w:rPr>
          <w:rFonts w:eastAsia="標楷體"/>
        </w:rPr>
        <w:t>報支金額標準：</w:t>
      </w:r>
    </w:p>
    <w:p w14:paraId="196235B4" w14:textId="533DD547" w:rsidR="00CF6EA4" w:rsidRPr="00CF6EA4" w:rsidRDefault="00CF6EA4" w:rsidP="00CF6EA4">
      <w:pPr>
        <w:adjustRightInd w:val="0"/>
        <w:spacing w:afterLines="50" w:after="180"/>
        <w:ind w:rightChars="100" w:right="240"/>
        <w:jc w:val="both"/>
        <w:rPr>
          <w:rFonts w:eastAsia="標楷體"/>
          <w:bCs/>
          <w:color w:val="000000" w:themeColor="text1"/>
        </w:rPr>
      </w:pPr>
      <w:r w:rsidRPr="00CF6EA4">
        <w:rPr>
          <w:rFonts w:eastAsia="標楷體"/>
          <w:bCs/>
          <w:color w:val="000000" w:themeColor="text1"/>
        </w:rPr>
        <w:t>Article 3</w:t>
      </w:r>
      <w:r w:rsidRPr="00CA541C">
        <w:t xml:space="preserve"> </w:t>
      </w:r>
      <w:r w:rsidRPr="00CF6EA4">
        <w:rPr>
          <w:rFonts w:eastAsia="標楷體"/>
          <w:bCs/>
          <w:color w:val="000000" w:themeColor="text1"/>
        </w:rPr>
        <w:t>Reimbursement amount standards:</w:t>
      </w:r>
    </w:p>
    <w:p w14:paraId="5B24DEF7" w14:textId="4506982C" w:rsidR="0020595B" w:rsidRPr="00CF6EA4" w:rsidRDefault="0020595B" w:rsidP="00CF6EA4">
      <w:pPr>
        <w:pStyle w:val="a3"/>
        <w:numPr>
          <w:ilvl w:val="0"/>
          <w:numId w:val="3"/>
        </w:numPr>
        <w:adjustRightInd w:val="0"/>
        <w:ind w:leftChars="0" w:rightChars="100" w:right="240"/>
        <w:rPr>
          <w:rFonts w:eastAsia="標楷體"/>
        </w:rPr>
      </w:pPr>
      <w:r w:rsidRPr="00CF6EA4">
        <w:rPr>
          <w:rFonts w:eastAsia="標楷體"/>
        </w:rPr>
        <w:t>餐費：中餐、晚餐每人每餐上限</w:t>
      </w:r>
      <w:r w:rsidRPr="00CF6EA4">
        <w:rPr>
          <w:rFonts w:eastAsia="標楷體"/>
        </w:rPr>
        <w:t>100</w:t>
      </w:r>
      <w:r w:rsidRPr="00CF6EA4">
        <w:rPr>
          <w:rFonts w:eastAsia="標楷體"/>
        </w:rPr>
        <w:t>元；早餐上限</w:t>
      </w:r>
      <w:r w:rsidRPr="00CF6EA4">
        <w:rPr>
          <w:rFonts w:eastAsia="標楷體"/>
        </w:rPr>
        <w:t>60</w:t>
      </w:r>
      <w:r w:rsidRPr="00CF6EA4">
        <w:rPr>
          <w:rFonts w:eastAsia="標楷體"/>
        </w:rPr>
        <w:t>元。</w:t>
      </w:r>
    </w:p>
    <w:p w14:paraId="5A95EF35" w14:textId="42CFD09F" w:rsidR="00CF6EA4" w:rsidRPr="00CF6EA4" w:rsidRDefault="00CF6EA4" w:rsidP="00CF6EA4">
      <w:pPr>
        <w:pStyle w:val="a3"/>
        <w:numPr>
          <w:ilvl w:val="0"/>
          <w:numId w:val="5"/>
        </w:numPr>
        <w:adjustRightInd w:val="0"/>
        <w:spacing w:afterLines="50" w:after="180"/>
        <w:ind w:leftChars="0" w:rightChars="100" w:right="240"/>
        <w:jc w:val="both"/>
        <w:rPr>
          <w:rFonts w:eastAsia="標楷體"/>
        </w:rPr>
      </w:pPr>
      <w:r w:rsidRPr="00CF6EA4">
        <w:rPr>
          <w:rFonts w:eastAsia="標楷體"/>
        </w:rPr>
        <w:t>Meals: The maximum per-person cost for lunch and dinner is NT$100, and the maximum per-person cost for breakfast is NT$60.</w:t>
      </w:r>
    </w:p>
    <w:p w14:paraId="308A8153" w14:textId="42D25A7D" w:rsidR="0020595B" w:rsidRPr="00CF6EA4" w:rsidRDefault="0020595B" w:rsidP="00CF6EA4">
      <w:pPr>
        <w:pStyle w:val="a3"/>
        <w:numPr>
          <w:ilvl w:val="0"/>
          <w:numId w:val="3"/>
        </w:numPr>
        <w:adjustRightInd w:val="0"/>
        <w:ind w:leftChars="0" w:rightChars="100" w:right="240"/>
        <w:rPr>
          <w:rFonts w:eastAsia="標楷體"/>
        </w:rPr>
      </w:pPr>
      <w:r w:rsidRPr="00CF6EA4">
        <w:rPr>
          <w:rFonts w:eastAsia="標楷體"/>
        </w:rPr>
        <w:t>茶點：</w:t>
      </w:r>
    </w:p>
    <w:p w14:paraId="79AB7C74" w14:textId="10904FD8" w:rsidR="00CF6EA4" w:rsidRPr="00CF6EA4" w:rsidRDefault="00CF6EA4" w:rsidP="00CF6EA4">
      <w:pPr>
        <w:pStyle w:val="a3"/>
        <w:numPr>
          <w:ilvl w:val="0"/>
          <w:numId w:val="5"/>
        </w:numPr>
        <w:adjustRightInd w:val="0"/>
        <w:spacing w:afterLines="50" w:after="180"/>
        <w:ind w:leftChars="0" w:rightChars="100" w:right="240"/>
        <w:jc w:val="both"/>
        <w:rPr>
          <w:rFonts w:eastAsia="標楷體"/>
        </w:rPr>
      </w:pPr>
      <w:r w:rsidRPr="00CF6EA4">
        <w:rPr>
          <w:rFonts w:eastAsia="標楷體"/>
        </w:rPr>
        <w:t>Snacks:</w:t>
      </w:r>
    </w:p>
    <w:p w14:paraId="4C900D97" w14:textId="77777777" w:rsidR="0020595B" w:rsidRDefault="0020595B" w:rsidP="00DA58A4">
      <w:pPr>
        <w:adjustRightInd w:val="0"/>
        <w:ind w:leftChars="350" w:left="840" w:rightChars="100" w:right="240"/>
        <w:rPr>
          <w:rFonts w:eastAsia="標楷體"/>
        </w:rPr>
      </w:pPr>
      <w:r w:rsidRPr="00DA58A4">
        <w:rPr>
          <w:rFonts w:eastAsia="標楷體"/>
        </w:rPr>
        <w:t xml:space="preserve">    </w:t>
      </w:r>
      <w:r w:rsidR="00CA19D9" w:rsidRPr="00DA58A4">
        <w:rPr>
          <w:rFonts w:eastAsia="標楷體"/>
        </w:rPr>
        <w:t>3</w:t>
      </w:r>
      <w:r w:rsidR="00CA19D9" w:rsidRPr="00DA58A4">
        <w:rPr>
          <w:rFonts w:eastAsia="標楷體"/>
        </w:rPr>
        <w:t>小時以上</w:t>
      </w:r>
      <w:r w:rsidRPr="00DA58A4">
        <w:rPr>
          <w:rFonts w:eastAsia="標楷體"/>
        </w:rPr>
        <w:t>會議或活動半日者：每人上限</w:t>
      </w:r>
      <w:r w:rsidRPr="00DA58A4">
        <w:rPr>
          <w:rFonts w:eastAsia="標楷體"/>
        </w:rPr>
        <w:t>20</w:t>
      </w:r>
      <w:r w:rsidRPr="00DA58A4">
        <w:rPr>
          <w:rFonts w:eastAsia="標楷體"/>
        </w:rPr>
        <w:t>元。</w:t>
      </w:r>
    </w:p>
    <w:p w14:paraId="010F4DA9" w14:textId="0E9C9CF4" w:rsidR="00CF6EA4" w:rsidRPr="00DA58A4" w:rsidRDefault="00CF6EA4" w:rsidP="00CF6EA4">
      <w:pPr>
        <w:pStyle w:val="a3"/>
        <w:adjustRightInd w:val="0"/>
        <w:spacing w:afterLines="50" w:after="180"/>
        <w:ind w:leftChars="590" w:left="1416" w:rightChars="100" w:right="240"/>
        <w:jc w:val="both"/>
        <w:rPr>
          <w:rFonts w:eastAsia="標楷體"/>
        </w:rPr>
      </w:pPr>
      <w:r w:rsidRPr="00CA541C">
        <w:rPr>
          <w:rFonts w:eastAsia="標楷體"/>
        </w:rPr>
        <w:t>For meetings or events that last 3 hours</w:t>
      </w:r>
      <w:r>
        <w:rPr>
          <w:rFonts w:eastAsia="標楷體"/>
        </w:rPr>
        <w:t>,</w:t>
      </w:r>
      <w:r w:rsidRPr="00CA541C">
        <w:rPr>
          <w:rFonts w:eastAsia="標楷體"/>
        </w:rPr>
        <w:t xml:space="preserve"> </w:t>
      </w:r>
      <w:r>
        <w:rPr>
          <w:rFonts w:eastAsia="標楷體"/>
        </w:rPr>
        <w:t xml:space="preserve">or </w:t>
      </w:r>
      <w:r w:rsidRPr="00CA541C">
        <w:rPr>
          <w:rFonts w:eastAsia="標楷體"/>
        </w:rPr>
        <w:t>a half-day event, the maximum per-person cost for snacks is NT$20.</w:t>
      </w:r>
    </w:p>
    <w:p w14:paraId="4D663BC9" w14:textId="77777777" w:rsidR="0020595B" w:rsidRDefault="0020595B" w:rsidP="00DA58A4">
      <w:pPr>
        <w:adjustRightInd w:val="0"/>
        <w:ind w:leftChars="350" w:left="840" w:rightChars="100" w:right="240"/>
        <w:rPr>
          <w:rFonts w:eastAsia="標楷體"/>
        </w:rPr>
      </w:pPr>
      <w:r w:rsidRPr="00DA58A4">
        <w:rPr>
          <w:rFonts w:eastAsia="標楷體"/>
        </w:rPr>
        <w:t xml:space="preserve">    </w:t>
      </w:r>
      <w:r w:rsidR="00CA19D9" w:rsidRPr="00DA58A4">
        <w:rPr>
          <w:rFonts w:eastAsia="標楷體"/>
        </w:rPr>
        <w:t>7</w:t>
      </w:r>
      <w:r w:rsidR="00CA19D9" w:rsidRPr="00DA58A4">
        <w:rPr>
          <w:rFonts w:eastAsia="標楷體"/>
        </w:rPr>
        <w:t>小時以上</w:t>
      </w:r>
      <w:r w:rsidRPr="00DA58A4">
        <w:rPr>
          <w:rFonts w:eastAsia="標楷體"/>
        </w:rPr>
        <w:t>會議或活動一日者：每人上限</w:t>
      </w:r>
      <w:r w:rsidRPr="00DA58A4">
        <w:rPr>
          <w:rFonts w:eastAsia="標楷體"/>
        </w:rPr>
        <w:t>40</w:t>
      </w:r>
      <w:r w:rsidRPr="00DA58A4">
        <w:rPr>
          <w:rFonts w:eastAsia="標楷體"/>
        </w:rPr>
        <w:t>元。</w:t>
      </w:r>
    </w:p>
    <w:p w14:paraId="2B38213D" w14:textId="293DE6C1" w:rsidR="00CF6EA4" w:rsidRPr="00DA58A4" w:rsidRDefault="00CF6EA4" w:rsidP="00CF6EA4">
      <w:pPr>
        <w:pStyle w:val="a3"/>
        <w:adjustRightInd w:val="0"/>
        <w:spacing w:afterLines="50" w:after="180"/>
        <w:ind w:leftChars="590" w:left="1418" w:rightChars="100" w:right="240" w:hanging="2"/>
        <w:jc w:val="both"/>
        <w:rPr>
          <w:rFonts w:eastAsia="標楷體"/>
        </w:rPr>
      </w:pPr>
      <w:r w:rsidRPr="00CA541C">
        <w:rPr>
          <w:rFonts w:eastAsia="標楷體"/>
        </w:rPr>
        <w:t>For meetings or events that last 7 hours or more</w:t>
      </w:r>
      <w:r>
        <w:rPr>
          <w:rFonts w:eastAsia="標楷體"/>
        </w:rPr>
        <w:t>, or</w:t>
      </w:r>
      <w:r w:rsidRPr="00CA541C">
        <w:rPr>
          <w:rFonts w:eastAsia="標楷體"/>
        </w:rPr>
        <w:t xml:space="preserve"> a full-day event, the maximum per-person cost for snacks is NT$40.</w:t>
      </w:r>
    </w:p>
    <w:p w14:paraId="6610775E" w14:textId="3C7132D7" w:rsidR="0020595B" w:rsidRPr="00CF6EA4" w:rsidRDefault="0020595B" w:rsidP="00CF6EA4">
      <w:pPr>
        <w:pStyle w:val="a3"/>
        <w:numPr>
          <w:ilvl w:val="0"/>
          <w:numId w:val="3"/>
        </w:numPr>
        <w:adjustRightInd w:val="0"/>
        <w:ind w:leftChars="0" w:rightChars="100" w:right="240"/>
        <w:jc w:val="both"/>
        <w:rPr>
          <w:rFonts w:eastAsia="標楷體"/>
        </w:rPr>
      </w:pPr>
      <w:r w:rsidRPr="00CF6EA4">
        <w:rPr>
          <w:rFonts w:eastAsia="標楷體"/>
        </w:rPr>
        <w:t>校外</w:t>
      </w:r>
      <w:r w:rsidR="00CA4E8E" w:rsidRPr="00CF6EA4">
        <w:rPr>
          <w:rFonts w:eastAsia="標楷體"/>
        </w:rPr>
        <w:t>專家學者、</w:t>
      </w:r>
      <w:r w:rsidRPr="00CF6EA4">
        <w:rPr>
          <w:rFonts w:eastAsia="標楷體"/>
        </w:rPr>
        <w:t>貴賓、訪視評鑑委員</w:t>
      </w:r>
      <w:r w:rsidR="00CA4E8E" w:rsidRPr="00CF6EA4">
        <w:rPr>
          <w:rFonts w:eastAsia="標楷體"/>
        </w:rPr>
        <w:t>、</w:t>
      </w:r>
      <w:r w:rsidRPr="00CF6EA4">
        <w:rPr>
          <w:rFonts w:eastAsia="標楷體"/>
        </w:rPr>
        <w:t>本校陪同人員或其他特殊</w:t>
      </w:r>
      <w:r w:rsidR="00CA4E8E" w:rsidRPr="00CF6EA4">
        <w:rPr>
          <w:rFonts w:eastAsia="標楷體"/>
        </w:rPr>
        <w:t>考</w:t>
      </w:r>
      <w:r w:rsidRPr="00CF6EA4">
        <w:rPr>
          <w:rFonts w:eastAsia="標楷體"/>
        </w:rPr>
        <w:t>量之需者，得經校長核准提高上述標準。</w:t>
      </w:r>
    </w:p>
    <w:p w14:paraId="55BC8618" w14:textId="50F3933C" w:rsidR="00CF6EA4" w:rsidRPr="00CF6EA4" w:rsidRDefault="00CF6EA4" w:rsidP="00CF6EA4">
      <w:pPr>
        <w:pStyle w:val="a3"/>
        <w:numPr>
          <w:ilvl w:val="0"/>
          <w:numId w:val="5"/>
        </w:numPr>
        <w:adjustRightInd w:val="0"/>
        <w:spacing w:afterLines="50" w:after="180"/>
        <w:ind w:leftChars="0" w:rightChars="100" w:right="240"/>
        <w:jc w:val="both"/>
        <w:rPr>
          <w:rFonts w:eastAsia="標楷體"/>
        </w:rPr>
      </w:pPr>
      <w:r w:rsidRPr="00CF6EA4">
        <w:rPr>
          <w:rFonts w:eastAsia="標楷體"/>
        </w:rPr>
        <w:t xml:space="preserve">For external experts, scholars, guests, visiting evaluation committee members, </w:t>
      </w:r>
      <w:r w:rsidRPr="00CF6EA4">
        <w:rPr>
          <w:rFonts w:eastAsia="標楷體"/>
        </w:rPr>
        <w:lastRenderedPageBreak/>
        <w:t>accompanying personnel of the school, or other special needs, the above standards may be increased with approval from the President.</w:t>
      </w:r>
    </w:p>
    <w:p w14:paraId="20C039D3" w14:textId="2773D45C" w:rsidR="00FC76AD" w:rsidRDefault="0020595B" w:rsidP="00DA58A4">
      <w:pPr>
        <w:adjustRightInd w:val="0"/>
        <w:spacing w:afterLines="50" w:after="180"/>
        <w:ind w:leftChars="350" w:left="1320" w:rightChars="100" w:right="240" w:hangingChars="200" w:hanging="480"/>
        <w:jc w:val="both"/>
        <w:rPr>
          <w:rFonts w:eastAsia="標楷體"/>
        </w:rPr>
      </w:pPr>
      <w:r w:rsidRPr="00DA58A4">
        <w:rPr>
          <w:rFonts w:eastAsia="標楷體"/>
        </w:rPr>
        <w:t>四、會議或活動前主辦單位宜先行調查統計預計參加人數，決定訂購數量，避免浪費並撙節開支，核銷時人數計算以簽到表為準，參加人數無法事前預知者得依簽到表人數加計</w:t>
      </w:r>
      <w:r w:rsidRPr="00DA58A4">
        <w:rPr>
          <w:rFonts w:eastAsia="標楷體"/>
        </w:rPr>
        <w:t>10</w:t>
      </w:r>
      <w:r w:rsidRPr="00DA58A4">
        <w:rPr>
          <w:rFonts w:eastAsia="標楷體"/>
        </w:rPr>
        <w:t>％計算，報支超過簽到表加計</w:t>
      </w:r>
      <w:r w:rsidRPr="00DA58A4">
        <w:rPr>
          <w:rFonts w:eastAsia="標楷體"/>
        </w:rPr>
        <w:t>10%</w:t>
      </w:r>
      <w:r w:rsidRPr="00DA58A4">
        <w:rPr>
          <w:rFonts w:eastAsia="標楷體"/>
        </w:rPr>
        <w:t>人數者承辦單位需述明原因，經會議主席或活動主辦單位主管簽章。</w:t>
      </w:r>
    </w:p>
    <w:p w14:paraId="77310B14" w14:textId="36AD428F" w:rsidR="00CA541C" w:rsidRPr="00CF6EA4" w:rsidRDefault="00CA541C" w:rsidP="00CF6EA4">
      <w:pPr>
        <w:pStyle w:val="a3"/>
        <w:numPr>
          <w:ilvl w:val="0"/>
          <w:numId w:val="5"/>
        </w:numPr>
        <w:adjustRightInd w:val="0"/>
        <w:spacing w:afterLines="50" w:after="180"/>
        <w:ind w:leftChars="0" w:rightChars="100" w:right="240"/>
        <w:jc w:val="both"/>
        <w:rPr>
          <w:rFonts w:eastAsia="標楷體"/>
        </w:rPr>
      </w:pPr>
      <w:r w:rsidRPr="00CF6EA4">
        <w:rPr>
          <w:rFonts w:eastAsia="標楷體"/>
        </w:rPr>
        <w:t>Prior to the meeting or event,</w:t>
      </w:r>
      <w:r w:rsidR="00E56F9A" w:rsidRPr="00CF6EA4">
        <w:rPr>
          <w:rFonts w:eastAsia="標楷體"/>
        </w:rPr>
        <w:t xml:space="preserve"> the organizing unit should conduct a preliminary survey to estimate the number of attendees and determine the quantity of orders to avoid waste and economize expenses. For reimbursement, the calculation of the number of participants will be based on the attendance sheet. If the number of participants cannot be predicted in advance, the number of participants can be calculated based on the sign-in sheet plus 10%. If the reimbursement amount exceeds the number of participants calculated based on the sign-in sheet plus 10%, the organizing unit must state the reason and obtain the signature</w:t>
      </w:r>
      <w:r w:rsidR="00CF6EA4">
        <w:rPr>
          <w:rFonts w:eastAsia="標楷體"/>
        </w:rPr>
        <w:t>/sealing</w:t>
      </w:r>
      <w:r w:rsidR="00E56F9A" w:rsidRPr="00CF6EA4">
        <w:rPr>
          <w:rFonts w:eastAsia="標楷體"/>
        </w:rPr>
        <w:t xml:space="preserve"> of the chair of the meeting or the head of the organizing unit.</w:t>
      </w:r>
    </w:p>
    <w:p w14:paraId="097723FB" w14:textId="77777777" w:rsidR="00FC76AD" w:rsidRPr="00DA58A4" w:rsidRDefault="00FC76AD" w:rsidP="00DA58A4">
      <w:pPr>
        <w:ind w:left="480" w:hangingChars="200" w:hanging="480"/>
        <w:rPr>
          <w:rFonts w:eastAsia="標楷體"/>
        </w:rPr>
      </w:pPr>
      <w:r w:rsidRPr="00DA58A4">
        <w:rPr>
          <w:rFonts w:eastAsia="標楷體"/>
        </w:rPr>
        <w:t>第</w:t>
      </w:r>
      <w:r w:rsidRPr="00DA58A4">
        <w:rPr>
          <w:rFonts w:eastAsia="標楷體"/>
        </w:rPr>
        <w:t>4</w:t>
      </w:r>
      <w:r w:rsidRPr="00DA58A4">
        <w:rPr>
          <w:rFonts w:eastAsia="標楷體"/>
        </w:rPr>
        <w:t>條</w:t>
      </w:r>
      <w:r w:rsidRPr="00DA58A4">
        <w:rPr>
          <w:rFonts w:eastAsia="標楷體"/>
        </w:rPr>
        <w:t xml:space="preserve"> </w:t>
      </w:r>
      <w:r w:rsidRPr="00DA58A4">
        <w:rPr>
          <w:rFonts w:eastAsia="標楷體"/>
        </w:rPr>
        <w:t>核銷文件：</w:t>
      </w:r>
    </w:p>
    <w:p w14:paraId="3AABFCDF" w14:textId="089B58A1" w:rsidR="00FC76AD" w:rsidRDefault="00FC76AD" w:rsidP="00DA58A4">
      <w:pPr>
        <w:spacing w:afterLines="50" w:after="180"/>
        <w:ind w:left="840" w:hangingChars="350" w:hanging="840"/>
        <w:rPr>
          <w:rFonts w:eastAsia="標楷體"/>
        </w:rPr>
      </w:pPr>
      <w:r w:rsidRPr="00DA58A4">
        <w:rPr>
          <w:rFonts w:eastAsia="標楷體"/>
        </w:rPr>
        <w:t xml:space="preserve">    </w:t>
      </w:r>
      <w:r w:rsidR="0020595B" w:rsidRPr="00DA58A4">
        <w:rPr>
          <w:rFonts w:eastAsia="標楷體"/>
        </w:rPr>
        <w:t xml:space="preserve"> </w:t>
      </w:r>
      <w:r w:rsidRPr="00DA58A4">
        <w:rPr>
          <w:rFonts w:eastAsia="標楷體"/>
        </w:rPr>
        <w:t xml:space="preserve">  </w:t>
      </w:r>
      <w:r w:rsidRPr="00DA58A4">
        <w:rPr>
          <w:rFonts w:eastAsia="標楷體"/>
        </w:rPr>
        <w:t>請檢附統一發票或收據、簽到表及活動時程表或會議紀錄或足資證明會議活動參加人數起訖時間</w:t>
      </w:r>
      <w:r w:rsidR="000663A0" w:rsidRPr="00DA58A4">
        <w:rPr>
          <w:rFonts w:eastAsia="標楷體"/>
        </w:rPr>
        <w:t>等證明</w:t>
      </w:r>
      <w:r w:rsidRPr="00DA58A4">
        <w:rPr>
          <w:rFonts w:eastAsia="標楷體"/>
        </w:rPr>
        <w:t>文件。</w:t>
      </w:r>
    </w:p>
    <w:p w14:paraId="4283BCDE" w14:textId="18419031" w:rsidR="007D7F43" w:rsidRPr="007D7F43" w:rsidRDefault="00534483" w:rsidP="007D7F43">
      <w:pPr>
        <w:spacing w:afterLines="50" w:after="180"/>
        <w:ind w:left="840" w:hangingChars="350" w:hanging="840"/>
        <w:rPr>
          <w:rFonts w:eastAsia="標楷體"/>
          <w:bCs/>
          <w:color w:val="000000" w:themeColor="text1"/>
        </w:rPr>
      </w:pPr>
      <w:r>
        <w:rPr>
          <w:rFonts w:eastAsia="標楷體"/>
          <w:bCs/>
          <w:color w:val="000000" w:themeColor="text1"/>
        </w:rPr>
        <w:t>Article 4</w:t>
      </w:r>
      <w:r w:rsidR="007D7F43">
        <w:rPr>
          <w:rFonts w:eastAsia="標楷體"/>
          <w:bCs/>
          <w:color w:val="000000" w:themeColor="text1"/>
        </w:rPr>
        <w:tab/>
      </w:r>
      <w:r w:rsidR="007D7F43" w:rsidRPr="007D7F43">
        <w:rPr>
          <w:rFonts w:eastAsia="標楷體"/>
          <w:bCs/>
          <w:color w:val="000000" w:themeColor="text1"/>
        </w:rPr>
        <w:t xml:space="preserve">Required </w:t>
      </w:r>
      <w:r w:rsidR="007D7F43">
        <w:rPr>
          <w:rFonts w:eastAsia="標楷體"/>
          <w:bCs/>
          <w:color w:val="000000" w:themeColor="text1"/>
        </w:rPr>
        <w:t>d</w:t>
      </w:r>
      <w:r w:rsidR="007D7F43" w:rsidRPr="007D7F43">
        <w:rPr>
          <w:rFonts w:eastAsia="標楷體"/>
          <w:bCs/>
          <w:color w:val="000000" w:themeColor="text1"/>
        </w:rPr>
        <w:t xml:space="preserve">ocumentation for </w:t>
      </w:r>
      <w:r w:rsidR="007D7F43">
        <w:rPr>
          <w:rFonts w:eastAsia="標楷體"/>
          <w:bCs/>
          <w:color w:val="000000" w:themeColor="text1"/>
        </w:rPr>
        <w:t>r</w:t>
      </w:r>
      <w:r w:rsidR="007D7F43" w:rsidRPr="007D7F43">
        <w:rPr>
          <w:rFonts w:eastAsia="標楷體"/>
          <w:bCs/>
          <w:color w:val="000000" w:themeColor="text1"/>
        </w:rPr>
        <w:t>eimbursement:</w:t>
      </w:r>
    </w:p>
    <w:p w14:paraId="4AA3CC0A" w14:textId="52F17BDF" w:rsidR="00534483" w:rsidRPr="00DA58A4" w:rsidRDefault="007D7F43" w:rsidP="007D7F43">
      <w:pPr>
        <w:spacing w:afterLines="50" w:after="180"/>
        <w:ind w:left="960"/>
        <w:rPr>
          <w:rFonts w:eastAsia="標楷體"/>
        </w:rPr>
      </w:pPr>
      <w:r w:rsidRPr="007D7F43">
        <w:rPr>
          <w:rFonts w:eastAsia="標楷體"/>
          <w:bCs/>
          <w:color w:val="000000" w:themeColor="text1"/>
        </w:rPr>
        <w:t>Please attach a unified invoice or receipt, sign-in sheet, and event schedule or meeting minutes, or other sufficient documentation to verify the number of attendees and the start and end times of the meeting or event.</w:t>
      </w:r>
    </w:p>
    <w:p w14:paraId="7310C2B0" w14:textId="51F26385" w:rsidR="00FC76AD" w:rsidRDefault="00FC76AD" w:rsidP="00DA58A4">
      <w:pPr>
        <w:spacing w:afterLines="50" w:after="180"/>
        <w:rPr>
          <w:rFonts w:eastAsia="標楷體"/>
        </w:rPr>
      </w:pPr>
      <w:r w:rsidRPr="00DA58A4">
        <w:rPr>
          <w:rFonts w:eastAsia="標楷體"/>
        </w:rPr>
        <w:t>第</w:t>
      </w:r>
      <w:r w:rsidRPr="00DA58A4">
        <w:rPr>
          <w:rFonts w:eastAsia="標楷體"/>
        </w:rPr>
        <w:t>5</w:t>
      </w:r>
      <w:r w:rsidRPr="00DA58A4">
        <w:rPr>
          <w:rFonts w:eastAsia="標楷體"/>
        </w:rPr>
        <w:t>條</w:t>
      </w:r>
      <w:r w:rsidRPr="00DA58A4">
        <w:rPr>
          <w:rFonts w:eastAsia="標楷體"/>
        </w:rPr>
        <w:t xml:space="preserve"> </w:t>
      </w:r>
      <w:r w:rsidRPr="00DA58A4">
        <w:rPr>
          <w:rFonts w:eastAsia="標楷體"/>
        </w:rPr>
        <w:t>本標準經行政會議審議通過後，自公布日起實施，修正時亦同。</w:t>
      </w:r>
    </w:p>
    <w:p w14:paraId="5AE0CE97" w14:textId="556D27E0" w:rsidR="00534483" w:rsidRPr="00DA58A4" w:rsidRDefault="00534483" w:rsidP="00534483">
      <w:pPr>
        <w:spacing w:afterLines="50" w:after="180"/>
        <w:ind w:left="960" w:hanging="960"/>
        <w:rPr>
          <w:rFonts w:eastAsia="標楷體"/>
        </w:rPr>
      </w:pPr>
      <w:r>
        <w:rPr>
          <w:rFonts w:eastAsia="標楷體"/>
          <w:bCs/>
          <w:color w:val="000000" w:themeColor="text1"/>
        </w:rPr>
        <w:t>Article 5</w:t>
      </w:r>
      <w:r>
        <w:rPr>
          <w:rFonts w:eastAsia="標楷體"/>
          <w:bCs/>
          <w:color w:val="000000" w:themeColor="text1"/>
        </w:rPr>
        <w:tab/>
      </w:r>
      <w:r w:rsidRPr="00534483">
        <w:rPr>
          <w:rFonts w:eastAsia="標楷體"/>
          <w:bCs/>
          <w:color w:val="000000" w:themeColor="text1"/>
        </w:rPr>
        <w:t>Th</w:t>
      </w:r>
      <w:r>
        <w:rPr>
          <w:rFonts w:eastAsia="標楷體"/>
          <w:bCs/>
          <w:color w:val="000000" w:themeColor="text1"/>
        </w:rPr>
        <w:t>is</w:t>
      </w:r>
      <w:r w:rsidRPr="00534483">
        <w:rPr>
          <w:rFonts w:eastAsia="標楷體"/>
          <w:bCs/>
          <w:color w:val="000000" w:themeColor="text1"/>
        </w:rPr>
        <w:t xml:space="preserve"> </w:t>
      </w:r>
      <w:r>
        <w:rPr>
          <w:rFonts w:eastAsia="標楷體"/>
          <w:bCs/>
          <w:color w:val="000000" w:themeColor="text1"/>
        </w:rPr>
        <w:t>standard</w:t>
      </w:r>
      <w:r w:rsidRPr="00534483">
        <w:rPr>
          <w:rFonts w:eastAsia="標楷體"/>
          <w:bCs/>
          <w:color w:val="000000" w:themeColor="text1"/>
        </w:rPr>
        <w:t xml:space="preserve"> shall take effect from the date of announcement, following</w:t>
      </w:r>
      <w:r>
        <w:rPr>
          <w:rFonts w:eastAsia="標楷體"/>
          <w:bCs/>
          <w:color w:val="000000" w:themeColor="text1"/>
        </w:rPr>
        <w:t xml:space="preserve"> review and</w:t>
      </w:r>
      <w:r w:rsidRPr="00534483">
        <w:rPr>
          <w:rFonts w:eastAsia="標楷體"/>
          <w:bCs/>
          <w:color w:val="000000" w:themeColor="text1"/>
        </w:rPr>
        <w:t xml:space="preserve"> approval by the Administrative Meeting. The same applies for any amendments.</w:t>
      </w:r>
    </w:p>
    <w:p w14:paraId="6509C54F" w14:textId="77777777" w:rsidR="00FC76AD" w:rsidRPr="00DA58A4" w:rsidRDefault="00FC76AD" w:rsidP="00FC76AD">
      <w:pPr>
        <w:pStyle w:val="a3"/>
        <w:ind w:leftChars="0" w:left="840"/>
        <w:rPr>
          <w:rFonts w:eastAsia="標楷體"/>
        </w:rPr>
      </w:pPr>
    </w:p>
    <w:sectPr w:rsidR="00FC76AD" w:rsidRPr="00DA58A4" w:rsidSect="00090F37">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1EBFA" w14:textId="77777777" w:rsidR="00F15275" w:rsidRDefault="00F15275" w:rsidP="00F413CE">
      <w:r>
        <w:separator/>
      </w:r>
    </w:p>
  </w:endnote>
  <w:endnote w:type="continuationSeparator" w:id="0">
    <w:p w14:paraId="29CBD0F5" w14:textId="77777777" w:rsidR="00F15275" w:rsidRDefault="00F15275" w:rsidP="00F4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D1FA6" w14:textId="77777777" w:rsidR="00F15275" w:rsidRDefault="00F15275" w:rsidP="00F413CE">
      <w:r>
        <w:separator/>
      </w:r>
    </w:p>
  </w:footnote>
  <w:footnote w:type="continuationSeparator" w:id="0">
    <w:p w14:paraId="314BF648" w14:textId="77777777" w:rsidR="00F15275" w:rsidRDefault="00F15275" w:rsidP="00F41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02E"/>
    <w:multiLevelType w:val="hybridMultilevel"/>
    <w:tmpl w:val="46548158"/>
    <w:lvl w:ilvl="0" w:tplc="395249CA">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CD0E6F"/>
    <w:multiLevelType w:val="hybridMultilevel"/>
    <w:tmpl w:val="AB90634C"/>
    <w:lvl w:ilvl="0" w:tplc="F86E4FB8">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2B261803"/>
    <w:multiLevelType w:val="hybridMultilevel"/>
    <w:tmpl w:val="76B8E258"/>
    <w:lvl w:ilvl="0" w:tplc="5B9C0B5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3C61246C"/>
    <w:multiLevelType w:val="hybridMultilevel"/>
    <w:tmpl w:val="5608DD1E"/>
    <w:lvl w:ilvl="0" w:tplc="412223C4">
      <w:start w:val="1"/>
      <w:numFmt w:val="decimal"/>
      <w:lvlText w:val="第%1條"/>
      <w:lvlJc w:val="left"/>
      <w:pPr>
        <w:ind w:left="840" w:hanging="84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5610FC"/>
    <w:multiLevelType w:val="hybridMultilevel"/>
    <w:tmpl w:val="AF8AC7C4"/>
    <w:lvl w:ilvl="0" w:tplc="C332E0A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0MTM2NjYzNzUzNzNW0lEKTi0uzszPAykwrAUAJKtjICwAAAA="/>
  </w:docVars>
  <w:rsids>
    <w:rsidRoot w:val="00FC76AD"/>
    <w:rsid w:val="00035C96"/>
    <w:rsid w:val="0006337B"/>
    <w:rsid w:val="000663A0"/>
    <w:rsid w:val="00076651"/>
    <w:rsid w:val="00090F37"/>
    <w:rsid w:val="000A7E54"/>
    <w:rsid w:val="00101AA6"/>
    <w:rsid w:val="0015153A"/>
    <w:rsid w:val="00194017"/>
    <w:rsid w:val="001A125B"/>
    <w:rsid w:val="001E28D8"/>
    <w:rsid w:val="001E53BC"/>
    <w:rsid w:val="0020595B"/>
    <w:rsid w:val="002260F7"/>
    <w:rsid w:val="00343D2B"/>
    <w:rsid w:val="003E7716"/>
    <w:rsid w:val="00403958"/>
    <w:rsid w:val="0044700F"/>
    <w:rsid w:val="004B238F"/>
    <w:rsid w:val="00534483"/>
    <w:rsid w:val="00542565"/>
    <w:rsid w:val="00557E0F"/>
    <w:rsid w:val="005B68F5"/>
    <w:rsid w:val="005C7191"/>
    <w:rsid w:val="00630331"/>
    <w:rsid w:val="00712C49"/>
    <w:rsid w:val="00727026"/>
    <w:rsid w:val="00786BB3"/>
    <w:rsid w:val="00787A2D"/>
    <w:rsid w:val="007D7F43"/>
    <w:rsid w:val="007F2D44"/>
    <w:rsid w:val="00902156"/>
    <w:rsid w:val="009514A5"/>
    <w:rsid w:val="00A67497"/>
    <w:rsid w:val="00AD5CBE"/>
    <w:rsid w:val="00AF2BFC"/>
    <w:rsid w:val="00B124D3"/>
    <w:rsid w:val="00C658B1"/>
    <w:rsid w:val="00C94C70"/>
    <w:rsid w:val="00CA19D9"/>
    <w:rsid w:val="00CA4E8E"/>
    <w:rsid w:val="00CA541C"/>
    <w:rsid w:val="00CF6EA4"/>
    <w:rsid w:val="00D00F9D"/>
    <w:rsid w:val="00D63C0A"/>
    <w:rsid w:val="00DA58A4"/>
    <w:rsid w:val="00E56F9A"/>
    <w:rsid w:val="00E9274D"/>
    <w:rsid w:val="00EA5DC7"/>
    <w:rsid w:val="00EB5919"/>
    <w:rsid w:val="00F15275"/>
    <w:rsid w:val="00F413CE"/>
    <w:rsid w:val="00FC76AD"/>
    <w:rsid w:val="00FF32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22523"/>
  <w15:chartTrackingRefBased/>
  <w15:docId w15:val="{17CD35BA-E4BA-42F1-BFEA-CBAB5CD8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6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6AD"/>
    <w:pPr>
      <w:ind w:leftChars="200" w:left="480"/>
    </w:pPr>
  </w:style>
  <w:style w:type="paragraph" w:styleId="a4">
    <w:name w:val="header"/>
    <w:basedOn w:val="a"/>
    <w:link w:val="a5"/>
    <w:uiPriority w:val="99"/>
    <w:unhideWhenUsed/>
    <w:rsid w:val="00F413CE"/>
    <w:pPr>
      <w:tabs>
        <w:tab w:val="center" w:pos="4153"/>
        <w:tab w:val="right" w:pos="8306"/>
      </w:tabs>
      <w:snapToGrid w:val="0"/>
    </w:pPr>
    <w:rPr>
      <w:sz w:val="20"/>
      <w:szCs w:val="20"/>
    </w:rPr>
  </w:style>
  <w:style w:type="character" w:customStyle="1" w:styleId="a5">
    <w:name w:val="頁首 字元"/>
    <w:basedOn w:val="a0"/>
    <w:link w:val="a4"/>
    <w:uiPriority w:val="99"/>
    <w:rsid w:val="00F413CE"/>
    <w:rPr>
      <w:rFonts w:ascii="Times New Roman" w:eastAsia="新細明體" w:hAnsi="Times New Roman" w:cs="Times New Roman"/>
      <w:sz w:val="20"/>
      <w:szCs w:val="20"/>
    </w:rPr>
  </w:style>
  <w:style w:type="paragraph" w:styleId="a6">
    <w:name w:val="footer"/>
    <w:basedOn w:val="a"/>
    <w:link w:val="a7"/>
    <w:uiPriority w:val="99"/>
    <w:unhideWhenUsed/>
    <w:rsid w:val="00F413CE"/>
    <w:pPr>
      <w:tabs>
        <w:tab w:val="center" w:pos="4153"/>
        <w:tab w:val="right" w:pos="8306"/>
      </w:tabs>
      <w:snapToGrid w:val="0"/>
    </w:pPr>
    <w:rPr>
      <w:sz w:val="20"/>
      <w:szCs w:val="20"/>
    </w:rPr>
  </w:style>
  <w:style w:type="character" w:customStyle="1" w:styleId="a7">
    <w:name w:val="頁尾 字元"/>
    <w:basedOn w:val="a0"/>
    <w:link w:val="a6"/>
    <w:uiPriority w:val="99"/>
    <w:rsid w:val="00F413CE"/>
    <w:rPr>
      <w:rFonts w:ascii="Times New Roman" w:eastAsia="新細明體" w:hAnsi="Times New Roman" w:cs="Times New Roman"/>
      <w:sz w:val="20"/>
      <w:szCs w:val="20"/>
    </w:rPr>
  </w:style>
  <w:style w:type="paragraph" w:styleId="a8">
    <w:name w:val="Balloon Text"/>
    <w:basedOn w:val="a"/>
    <w:link w:val="a9"/>
    <w:uiPriority w:val="99"/>
    <w:semiHidden/>
    <w:unhideWhenUsed/>
    <w:rsid w:val="00090F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90F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Company>Hewlett-Packard Company</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2024-01-26T03:30:00Z</cp:lastPrinted>
  <dcterms:created xsi:type="dcterms:W3CDTF">2024-01-26T03:30:00Z</dcterms:created>
  <dcterms:modified xsi:type="dcterms:W3CDTF">2024-01-26T03:30:00Z</dcterms:modified>
</cp:coreProperties>
</file>