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A3" w:rsidRDefault="002D37FB" w:rsidP="004547F8">
      <w:pPr>
        <w:pStyle w:val="Default"/>
        <w:snapToGrid w:val="0"/>
        <w:spacing w:afterLines="50" w:after="180"/>
        <w:jc w:val="center"/>
        <w:rPr>
          <w:rFonts w:eastAsia="標楷體"/>
          <w:sz w:val="32"/>
          <w:szCs w:val="32"/>
        </w:rPr>
      </w:pPr>
      <w:r w:rsidRPr="002D37FB">
        <w:rPr>
          <w:rFonts w:eastAsia="標楷體" w:hint="eastAsia"/>
          <w:sz w:val="32"/>
          <w:szCs w:val="32"/>
        </w:rPr>
        <w:t>教師評鑑辦法人文社會科學院特色教學績效計分項目</w:t>
      </w:r>
      <w:r w:rsidR="00B04E54" w:rsidRPr="00B04E54">
        <w:rPr>
          <w:rFonts w:eastAsia="標楷體" w:hint="eastAsia"/>
          <w:sz w:val="32"/>
          <w:szCs w:val="32"/>
        </w:rPr>
        <w:t>【廢止】</w:t>
      </w:r>
    </w:p>
    <w:p w:rsidR="004547F8" w:rsidRDefault="004547F8" w:rsidP="002E6B1C">
      <w:pPr>
        <w:pStyle w:val="Default"/>
        <w:snapToGrid w:val="0"/>
        <w:ind w:firstLineChars="1488" w:firstLine="2976"/>
        <w:jc w:val="both"/>
        <w:rPr>
          <w:rFonts w:ascii="Times New Roman" w:eastAsia="標楷體" w:cs="Times New Roman"/>
          <w:sz w:val="20"/>
          <w:szCs w:val="20"/>
        </w:rPr>
      </w:pPr>
      <w:r w:rsidRPr="004547F8">
        <w:rPr>
          <w:rFonts w:ascii="Times New Roman" w:eastAsia="標楷體" w:cs="Times New Roman"/>
          <w:sz w:val="20"/>
          <w:szCs w:val="20"/>
        </w:rPr>
        <w:t xml:space="preserve">106.10.26  </w:t>
      </w:r>
      <w:r w:rsidRPr="004547F8">
        <w:rPr>
          <w:rFonts w:ascii="Times New Roman" w:eastAsia="標楷體" w:cs="Times New Roman"/>
          <w:sz w:val="20"/>
          <w:szCs w:val="20"/>
        </w:rPr>
        <w:t>人文社會科學院</w:t>
      </w:r>
      <w:r w:rsidRPr="004547F8">
        <w:rPr>
          <w:rFonts w:ascii="Times New Roman" w:eastAsia="標楷體" w:cs="Times New Roman"/>
          <w:sz w:val="20"/>
          <w:szCs w:val="20"/>
        </w:rPr>
        <w:t>106</w:t>
      </w:r>
      <w:r w:rsidRPr="004547F8">
        <w:rPr>
          <w:rFonts w:ascii="Times New Roman" w:eastAsia="標楷體" w:cs="Times New Roman"/>
          <w:sz w:val="20"/>
          <w:szCs w:val="20"/>
        </w:rPr>
        <w:t>學年度第</w:t>
      </w:r>
      <w:r w:rsidRPr="004547F8">
        <w:rPr>
          <w:rFonts w:ascii="Times New Roman" w:eastAsia="標楷體" w:cs="Times New Roman"/>
          <w:sz w:val="20"/>
          <w:szCs w:val="20"/>
        </w:rPr>
        <w:t>3</w:t>
      </w:r>
      <w:r w:rsidRPr="004547F8">
        <w:rPr>
          <w:rFonts w:ascii="Times New Roman" w:eastAsia="標楷體" w:cs="Times New Roman"/>
          <w:sz w:val="20"/>
          <w:szCs w:val="20"/>
        </w:rPr>
        <w:t>次院</w:t>
      </w:r>
      <w:proofErr w:type="gramStart"/>
      <w:r w:rsidRPr="004547F8">
        <w:rPr>
          <w:rFonts w:ascii="Times New Roman" w:eastAsia="標楷體" w:cs="Times New Roman"/>
          <w:sz w:val="20"/>
          <w:szCs w:val="20"/>
        </w:rPr>
        <w:t>務</w:t>
      </w:r>
      <w:proofErr w:type="gramEnd"/>
      <w:r w:rsidRPr="004547F8">
        <w:rPr>
          <w:rFonts w:ascii="Times New Roman" w:eastAsia="標楷體" w:cs="Times New Roman"/>
          <w:sz w:val="20"/>
          <w:szCs w:val="20"/>
        </w:rPr>
        <w:t>會議通過</w:t>
      </w:r>
    </w:p>
    <w:p w:rsidR="002E6B1C" w:rsidRDefault="002E6B1C" w:rsidP="002E6B1C">
      <w:pPr>
        <w:pStyle w:val="Default"/>
        <w:snapToGrid w:val="0"/>
        <w:ind w:rightChars="-80" w:right="-192" w:firstLineChars="1488" w:firstLine="2976"/>
        <w:jc w:val="both"/>
        <w:rPr>
          <w:rFonts w:ascii="Times New Roman" w:eastAsia="標楷體" w:cs="Times New Roman"/>
          <w:sz w:val="20"/>
          <w:szCs w:val="20"/>
        </w:rPr>
      </w:pPr>
      <w:r w:rsidRPr="004547F8">
        <w:rPr>
          <w:rFonts w:ascii="Times New Roman" w:eastAsia="標楷體" w:cs="Times New Roman"/>
          <w:sz w:val="20"/>
          <w:szCs w:val="20"/>
        </w:rPr>
        <w:t>10</w:t>
      </w:r>
      <w:r>
        <w:rPr>
          <w:rFonts w:ascii="Times New Roman" w:eastAsia="標楷體" w:cs="Times New Roman" w:hint="eastAsia"/>
          <w:sz w:val="20"/>
          <w:szCs w:val="20"/>
        </w:rPr>
        <w:t>9</w:t>
      </w:r>
      <w:r w:rsidRPr="004547F8">
        <w:rPr>
          <w:rFonts w:ascii="Times New Roman" w:eastAsia="標楷體" w:cs="Times New Roman"/>
          <w:sz w:val="20"/>
          <w:szCs w:val="20"/>
        </w:rPr>
        <w:t>.</w:t>
      </w:r>
      <w:r>
        <w:rPr>
          <w:rFonts w:ascii="Times New Roman" w:eastAsia="標楷體" w:cs="Times New Roman" w:hint="eastAsia"/>
          <w:sz w:val="20"/>
          <w:szCs w:val="20"/>
        </w:rPr>
        <w:t>04</w:t>
      </w:r>
      <w:r w:rsidRPr="004547F8">
        <w:rPr>
          <w:rFonts w:ascii="Times New Roman" w:eastAsia="標楷體" w:cs="Times New Roman"/>
          <w:sz w:val="20"/>
          <w:szCs w:val="20"/>
        </w:rPr>
        <w:t>.</w:t>
      </w:r>
      <w:r>
        <w:rPr>
          <w:rFonts w:ascii="Times New Roman" w:eastAsia="標楷體" w:cs="Times New Roman" w:hint="eastAsia"/>
          <w:sz w:val="20"/>
          <w:szCs w:val="20"/>
        </w:rPr>
        <w:t>17</w:t>
      </w:r>
      <w:r w:rsidRPr="004547F8">
        <w:rPr>
          <w:rFonts w:ascii="Times New Roman" w:eastAsia="標楷體" w:cs="Times New Roman"/>
          <w:sz w:val="20"/>
          <w:szCs w:val="20"/>
        </w:rPr>
        <w:t xml:space="preserve">  </w:t>
      </w:r>
      <w:r w:rsidRPr="004547F8">
        <w:rPr>
          <w:rFonts w:ascii="Times New Roman" w:eastAsia="標楷體" w:cs="Times New Roman"/>
          <w:sz w:val="20"/>
          <w:szCs w:val="20"/>
        </w:rPr>
        <w:t>人文社會科學院</w:t>
      </w:r>
      <w:r w:rsidRPr="004547F8">
        <w:rPr>
          <w:rFonts w:ascii="Times New Roman" w:eastAsia="標楷體" w:cs="Times New Roman"/>
          <w:sz w:val="20"/>
          <w:szCs w:val="20"/>
        </w:rPr>
        <w:t>10</w:t>
      </w:r>
      <w:r>
        <w:rPr>
          <w:rFonts w:ascii="Times New Roman" w:eastAsia="標楷體" w:cs="Times New Roman" w:hint="eastAsia"/>
          <w:sz w:val="20"/>
          <w:szCs w:val="20"/>
        </w:rPr>
        <w:t>8</w:t>
      </w:r>
      <w:r w:rsidRPr="004547F8">
        <w:rPr>
          <w:rFonts w:ascii="Times New Roman" w:eastAsia="標楷體" w:cs="Times New Roman"/>
          <w:sz w:val="20"/>
          <w:szCs w:val="20"/>
        </w:rPr>
        <w:t>學年度第</w:t>
      </w:r>
      <w:r w:rsidRPr="004547F8">
        <w:rPr>
          <w:rFonts w:ascii="Times New Roman" w:eastAsia="標楷體" w:cs="Times New Roman"/>
          <w:sz w:val="20"/>
          <w:szCs w:val="20"/>
        </w:rPr>
        <w:t>3</w:t>
      </w:r>
      <w:r w:rsidRPr="004547F8">
        <w:rPr>
          <w:rFonts w:ascii="Times New Roman" w:eastAsia="標楷體" w:cs="Times New Roman"/>
          <w:sz w:val="20"/>
          <w:szCs w:val="20"/>
        </w:rPr>
        <w:t>次院</w:t>
      </w:r>
      <w:proofErr w:type="gramStart"/>
      <w:r w:rsidRPr="004547F8">
        <w:rPr>
          <w:rFonts w:ascii="Times New Roman" w:eastAsia="標楷體" w:cs="Times New Roman"/>
          <w:sz w:val="20"/>
          <w:szCs w:val="20"/>
        </w:rPr>
        <w:t>務</w:t>
      </w:r>
      <w:proofErr w:type="gramEnd"/>
      <w:r w:rsidRPr="004547F8">
        <w:rPr>
          <w:rFonts w:ascii="Times New Roman" w:eastAsia="標楷體" w:cs="Times New Roman"/>
          <w:sz w:val="20"/>
          <w:szCs w:val="20"/>
        </w:rPr>
        <w:t>會議通過</w:t>
      </w:r>
      <w:r>
        <w:rPr>
          <w:rFonts w:ascii="Times New Roman" w:eastAsia="標楷體" w:cs="Times New Roman" w:hint="eastAsia"/>
          <w:sz w:val="20"/>
          <w:szCs w:val="20"/>
        </w:rPr>
        <w:t>廢止</w:t>
      </w:r>
    </w:p>
    <w:tbl>
      <w:tblPr>
        <w:tblStyle w:val="a3"/>
        <w:tblpPr w:leftFromText="180" w:rightFromText="180" w:vertAnchor="page" w:horzAnchor="margin" w:tblpY="2293"/>
        <w:tblW w:w="8613" w:type="dxa"/>
        <w:tblLook w:val="04A0" w:firstRow="1" w:lastRow="0" w:firstColumn="1" w:lastColumn="0" w:noHBand="0" w:noVBand="1"/>
      </w:tblPr>
      <w:tblGrid>
        <w:gridCol w:w="3227"/>
        <w:gridCol w:w="4111"/>
        <w:gridCol w:w="1275"/>
      </w:tblGrid>
      <w:tr w:rsidR="00BE32B0" w:rsidTr="00BE32B0">
        <w:tc>
          <w:tcPr>
            <w:tcW w:w="3227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特色項目</w:t>
            </w:r>
          </w:p>
        </w:tc>
        <w:tc>
          <w:tcPr>
            <w:tcW w:w="4111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指標</w:t>
            </w:r>
          </w:p>
        </w:tc>
        <w:tc>
          <w:tcPr>
            <w:tcW w:w="1275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評分</w:t>
            </w:r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參與式教學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ascii="標楷體" w:eastAsia="標楷體" w:hAnsi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參與式教學社群</w:t>
            </w:r>
            <w:r w:rsidRPr="00574A08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574A08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參與式教學社群</w:t>
            </w:r>
            <w:r w:rsidRPr="00574A08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E44AE1">
              <w:rPr>
                <w:rFonts w:eastAsia="標楷體" w:hint="eastAsia"/>
              </w:rPr>
              <w:t>參與式教學</w:t>
            </w:r>
            <w:r>
              <w:rPr>
                <w:rFonts w:eastAsia="標楷體"/>
              </w:rPr>
              <w:t>課程</w:t>
            </w:r>
            <w:r w:rsidRPr="00574A08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bookmarkStart w:id="0" w:name="_Hlk494525229"/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跨領域教學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跨領域</w:t>
            </w:r>
            <w:proofErr w:type="gramEnd"/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>跨領域</w:t>
            </w:r>
            <w:proofErr w:type="gramEnd"/>
            <w:r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>跨領域</w:t>
            </w:r>
            <w:proofErr w:type="gramEnd"/>
            <w:r>
              <w:rPr>
                <w:rFonts w:eastAsia="標楷體" w:hint="eastAsia"/>
              </w:rPr>
              <w:t>教學社群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rPr>
          <w:trHeight w:val="431"/>
        </w:trPr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C15AFF">
              <w:rPr>
                <w:rFonts w:eastAsia="標楷體" w:hint="eastAsia"/>
              </w:rPr>
              <w:t>跨領域教學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265845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正向思維教學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>
              <w:rPr>
                <w:rFonts w:eastAsia="標楷體" w:hint="eastAsia"/>
              </w:rPr>
              <w:t>正向思維教學課程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具有「應用</w:t>
            </w:r>
            <w:r w:rsidRPr="00935705">
              <w:rPr>
                <w:rFonts w:eastAsia="標楷體" w:hint="eastAsia"/>
              </w:rPr>
              <w:t>實作</w:t>
            </w:r>
            <w:r>
              <w:rPr>
                <w:rFonts w:eastAsia="標楷體"/>
              </w:rPr>
              <w:t>教學</w:t>
            </w:r>
            <w:r w:rsidRPr="00935705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935705">
              <w:rPr>
                <w:rFonts w:eastAsia="標楷體" w:hint="eastAsia"/>
              </w:rPr>
              <w:t>實作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935705">
              <w:rPr>
                <w:rFonts w:eastAsia="標楷體" w:hint="eastAsia"/>
              </w:rPr>
              <w:t>實作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C15AFF">
              <w:rPr>
                <w:rFonts w:eastAsia="標楷體" w:hint="eastAsia"/>
              </w:rPr>
              <w:t>實作教學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D5566D">
              <w:rPr>
                <w:rFonts w:eastAsia="標楷體" w:hint="eastAsia"/>
              </w:rPr>
              <w:t>應用</w:t>
            </w:r>
            <w:r w:rsidRPr="00C15AFF">
              <w:rPr>
                <w:rFonts w:eastAsia="標楷體" w:hint="eastAsia"/>
              </w:rPr>
              <w:t>實作教學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8613" w:type="dxa"/>
            <w:gridSpan w:val="3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本學院教學特色的定義為：參與式教學、跨領域教學、批判式教學、正向思維教學與</w:t>
            </w:r>
            <w:r w:rsidRPr="00D5566D">
              <w:rPr>
                <w:rFonts w:eastAsia="標楷體" w:hint="eastAsia"/>
              </w:rPr>
              <w:t>應用</w:t>
            </w:r>
            <w:r>
              <w:rPr>
                <w:rFonts w:eastAsia="標楷體" w:hint="eastAsia"/>
              </w:rPr>
              <w:t>實作教學。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每學期接受教學成長社群計畫書，每學期開學前（八月底、一月底前）須由教學成長社群負責教師提出該社群計畫書（包括主題、社群成員及相關資料，並符合學院教學特色），提交本學院教學特色計畫小組審議及院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會議核備通過。社群學期結束後兩星期需繳交社群成果報告，社群成果報告必須包括成員在個別課程中之教學實踐與心得。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以單一課程申請本學院教學特色積分者，每學期至多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計兩門，每門課僅能以一個特色項目計分，每</w:t>
            </w:r>
            <w:proofErr w:type="gramStart"/>
            <w:r>
              <w:rPr>
                <w:rFonts w:eastAsia="標楷體" w:hint="eastAsia"/>
              </w:rPr>
              <w:t>學期末須提</w:t>
            </w:r>
            <w:proofErr w:type="gramEnd"/>
            <w:r>
              <w:rPr>
                <w:rFonts w:eastAsia="標楷體" w:hint="eastAsia"/>
              </w:rPr>
              <w:t>具下列佐證資料：</w:t>
            </w:r>
          </w:p>
          <w:p w:rsidR="00BE32B0" w:rsidRPr="00457786" w:rsidRDefault="00BE32B0" w:rsidP="00BE32B0">
            <w:pPr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 w:rsidRPr="00A620C7">
              <w:rPr>
                <w:rFonts w:eastAsia="標楷體" w:hint="eastAsia"/>
              </w:rPr>
              <w:t>課程大綱</w:t>
            </w:r>
            <w:r w:rsidRPr="00A620C7">
              <w:rPr>
                <w:rFonts w:eastAsia="標楷體" w:hint="eastAsia"/>
              </w:rPr>
              <w:t xml:space="preserve"> (2)</w:t>
            </w:r>
            <w:r w:rsidRPr="00A620C7">
              <w:rPr>
                <w:rFonts w:eastAsia="標楷體" w:hint="eastAsia"/>
              </w:rPr>
              <w:t>課程進度</w:t>
            </w:r>
            <w:r w:rsidRPr="00A620C7">
              <w:rPr>
                <w:rFonts w:eastAsia="標楷體" w:hint="eastAsia"/>
              </w:rPr>
              <w:t xml:space="preserve"> (3)</w:t>
            </w:r>
            <w:r w:rsidRPr="00A620C7">
              <w:rPr>
                <w:rFonts w:eastAsia="標楷體" w:hint="eastAsia"/>
              </w:rPr>
              <w:t>教學活動記錄，經本</w:t>
            </w:r>
            <w:r>
              <w:rPr>
                <w:rFonts w:eastAsia="標楷體" w:hint="eastAsia"/>
              </w:rPr>
              <w:t>學</w:t>
            </w:r>
            <w:r w:rsidRPr="00A620C7">
              <w:rPr>
                <w:rFonts w:eastAsia="標楷體" w:hint="eastAsia"/>
              </w:rPr>
              <w:t>院教學特色計畫小組</w:t>
            </w:r>
            <w:r w:rsidRPr="00457786">
              <w:rPr>
                <w:rFonts w:eastAsia="標楷體" w:hint="eastAsia"/>
              </w:rPr>
              <w:t>審議</w:t>
            </w:r>
            <w:r w:rsidRPr="00A620C7">
              <w:rPr>
                <w:rFonts w:eastAsia="標楷體" w:hint="eastAsia"/>
              </w:rPr>
              <w:t>及</w:t>
            </w:r>
            <w:r w:rsidRPr="00457786">
              <w:rPr>
                <w:rFonts w:eastAsia="標楷體" w:hint="eastAsia"/>
              </w:rPr>
              <w:t>院</w:t>
            </w:r>
            <w:proofErr w:type="gramStart"/>
            <w:r w:rsidRPr="00457786">
              <w:rPr>
                <w:rFonts w:eastAsia="標楷體" w:hint="eastAsia"/>
              </w:rPr>
              <w:t>務</w:t>
            </w:r>
            <w:proofErr w:type="gramEnd"/>
            <w:r w:rsidRPr="00457786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>核備</w:t>
            </w:r>
            <w:r w:rsidRPr="00457786">
              <w:rPr>
                <w:rFonts w:eastAsia="標楷體" w:hint="eastAsia"/>
              </w:rPr>
              <w:t>通過。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本學院教學特色計畫小組成員包括院長、兩系一所主管及各單位代表各一名，共七人。</w:t>
            </w:r>
          </w:p>
          <w:p w:rsidR="00BE32B0" w:rsidRPr="00457786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每位教師每學期至多主持或參加兩個社群。</w:t>
            </w:r>
          </w:p>
        </w:tc>
      </w:tr>
    </w:tbl>
    <w:bookmarkEnd w:id="0"/>
    <w:p w:rsidR="004547F8" w:rsidRPr="004547F8" w:rsidRDefault="00BE32B0" w:rsidP="00BE32B0">
      <w:pPr>
        <w:pStyle w:val="Default"/>
        <w:snapToGrid w:val="0"/>
        <w:ind w:right="100"/>
        <w:jc w:val="both"/>
        <w:rPr>
          <w:rFonts w:ascii="Times New Roman" w:cs="Times New Roman"/>
          <w:sz w:val="20"/>
          <w:szCs w:val="20"/>
          <w:shd w:val="pct15" w:color="auto" w:fill="FFFFFF"/>
        </w:rPr>
      </w:pPr>
      <w:r w:rsidRPr="00BE32B0">
        <w:rPr>
          <w:rFonts w:ascii="Times New Roman" w:cs="Times New Roman" w:hint="eastAsia"/>
          <w:sz w:val="20"/>
          <w:szCs w:val="20"/>
        </w:rPr>
        <w:t xml:space="preserve">                              </w:t>
      </w:r>
      <w:r w:rsidR="00C102F0" w:rsidRPr="00C102F0">
        <w:rPr>
          <w:rFonts w:ascii="Times New Roman" w:cs="Times New Roman" w:hint="eastAsia"/>
          <w:sz w:val="20"/>
          <w:szCs w:val="20"/>
        </w:rPr>
        <w:t>10</w:t>
      </w:r>
      <w:r w:rsidR="00C102F0">
        <w:rPr>
          <w:rFonts w:ascii="Times New Roman" w:cs="Times New Roman" w:hint="eastAsia"/>
          <w:sz w:val="20"/>
          <w:szCs w:val="20"/>
        </w:rPr>
        <w:t>9</w:t>
      </w:r>
      <w:r w:rsidR="00C102F0" w:rsidRPr="00C102F0">
        <w:rPr>
          <w:rFonts w:ascii="Times New Roman" w:cs="Times New Roman" w:hint="eastAsia"/>
          <w:sz w:val="20"/>
          <w:szCs w:val="20"/>
        </w:rPr>
        <w:t>.0</w:t>
      </w:r>
      <w:r w:rsidR="00C102F0">
        <w:rPr>
          <w:rFonts w:ascii="Times New Roman" w:cs="Times New Roman" w:hint="eastAsia"/>
          <w:sz w:val="20"/>
          <w:szCs w:val="20"/>
        </w:rPr>
        <w:t>5</w:t>
      </w:r>
      <w:r w:rsidR="00C102F0" w:rsidRPr="00C102F0">
        <w:rPr>
          <w:rFonts w:ascii="Times New Roman" w:cs="Times New Roman" w:hint="eastAsia"/>
          <w:sz w:val="20"/>
          <w:szCs w:val="20"/>
        </w:rPr>
        <w:t>.</w:t>
      </w:r>
      <w:r w:rsidR="00C102F0">
        <w:rPr>
          <w:rFonts w:ascii="Times New Roman" w:cs="Times New Roman" w:hint="eastAsia"/>
          <w:sz w:val="20"/>
          <w:szCs w:val="20"/>
        </w:rPr>
        <w:t xml:space="preserve">04 </w:t>
      </w:r>
      <w:r w:rsidR="00C102F0" w:rsidRPr="00C102F0">
        <w:rPr>
          <w:rFonts w:ascii="Times New Roman" w:cs="Times New Roman" w:hint="eastAsia"/>
          <w:sz w:val="20"/>
          <w:szCs w:val="20"/>
        </w:rPr>
        <w:t xml:space="preserve"> </w:t>
      </w:r>
      <w:r w:rsidR="00C102F0" w:rsidRPr="00C102F0">
        <w:rPr>
          <w:rFonts w:ascii="Times New Roman" w:cs="Times New Roman" w:hint="eastAsia"/>
          <w:sz w:val="20"/>
          <w:szCs w:val="20"/>
        </w:rPr>
        <w:t>高醫院人字第</w:t>
      </w:r>
      <w:r w:rsidR="00C102F0" w:rsidRPr="00C102F0">
        <w:rPr>
          <w:rFonts w:ascii="Times New Roman" w:cs="Times New Roman"/>
          <w:sz w:val="20"/>
          <w:szCs w:val="20"/>
        </w:rPr>
        <w:t>1091101118</w:t>
      </w:r>
      <w:r w:rsidR="00C102F0" w:rsidRPr="00C102F0">
        <w:rPr>
          <w:rFonts w:ascii="Times New Roman" w:cs="Times New Roman" w:hint="eastAsia"/>
          <w:sz w:val="20"/>
          <w:szCs w:val="20"/>
        </w:rPr>
        <w:t>號函公布</w:t>
      </w:r>
      <w:r w:rsidR="00FC5709">
        <w:rPr>
          <w:rFonts w:ascii="Times New Roman" w:eastAsia="標楷體" w:cs="Times New Roman" w:hint="eastAsia"/>
          <w:sz w:val="20"/>
          <w:szCs w:val="20"/>
        </w:rPr>
        <w:t>廢止</w:t>
      </w:r>
      <w:bookmarkStart w:id="1" w:name="_GoBack"/>
      <w:bookmarkEnd w:id="1"/>
    </w:p>
    <w:sectPr w:rsidR="004547F8" w:rsidRPr="004547F8" w:rsidSect="00B53EB1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17" w:rsidRDefault="004F5917" w:rsidP="00A46296">
      <w:r>
        <w:separator/>
      </w:r>
    </w:p>
  </w:endnote>
  <w:endnote w:type="continuationSeparator" w:id="0">
    <w:p w:rsidR="004F5917" w:rsidRDefault="004F5917" w:rsidP="00A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17" w:rsidRDefault="004F5917" w:rsidP="00A46296">
      <w:r>
        <w:separator/>
      </w:r>
    </w:p>
  </w:footnote>
  <w:footnote w:type="continuationSeparator" w:id="0">
    <w:p w:rsidR="004F5917" w:rsidRDefault="004F5917" w:rsidP="00A4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BC"/>
    <w:multiLevelType w:val="hybridMultilevel"/>
    <w:tmpl w:val="69323350"/>
    <w:lvl w:ilvl="0" w:tplc="7D4A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94F6B"/>
    <w:multiLevelType w:val="hybridMultilevel"/>
    <w:tmpl w:val="431CF406"/>
    <w:lvl w:ilvl="0" w:tplc="AA2E1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5138B4"/>
    <w:multiLevelType w:val="hybridMultilevel"/>
    <w:tmpl w:val="06122EAE"/>
    <w:lvl w:ilvl="0" w:tplc="51BE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BA1677"/>
    <w:multiLevelType w:val="hybridMultilevel"/>
    <w:tmpl w:val="E1144D40"/>
    <w:lvl w:ilvl="0" w:tplc="452AE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53D76E8"/>
    <w:multiLevelType w:val="hybridMultilevel"/>
    <w:tmpl w:val="BFDAC800"/>
    <w:lvl w:ilvl="0" w:tplc="529A4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9FA6C2B"/>
    <w:multiLevelType w:val="hybridMultilevel"/>
    <w:tmpl w:val="64660A4A"/>
    <w:lvl w:ilvl="0" w:tplc="B66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19"/>
    <w:rsid w:val="00007618"/>
    <w:rsid w:val="000D1741"/>
    <w:rsid w:val="000E213F"/>
    <w:rsid w:val="000F54DF"/>
    <w:rsid w:val="001060BD"/>
    <w:rsid w:val="00191149"/>
    <w:rsid w:val="001968AE"/>
    <w:rsid w:val="001A6143"/>
    <w:rsid w:val="001B791E"/>
    <w:rsid w:val="0022561C"/>
    <w:rsid w:val="00265330"/>
    <w:rsid w:val="00265845"/>
    <w:rsid w:val="00275AF6"/>
    <w:rsid w:val="002B5AD4"/>
    <w:rsid w:val="002D37FB"/>
    <w:rsid w:val="002E6B1C"/>
    <w:rsid w:val="003970F1"/>
    <w:rsid w:val="003C0F3C"/>
    <w:rsid w:val="003C57AD"/>
    <w:rsid w:val="00404055"/>
    <w:rsid w:val="00452334"/>
    <w:rsid w:val="004547F8"/>
    <w:rsid w:val="0045721B"/>
    <w:rsid w:val="00457786"/>
    <w:rsid w:val="004F5917"/>
    <w:rsid w:val="00554196"/>
    <w:rsid w:val="00567611"/>
    <w:rsid w:val="00574A08"/>
    <w:rsid w:val="00593B57"/>
    <w:rsid w:val="005E1EB3"/>
    <w:rsid w:val="005E702E"/>
    <w:rsid w:val="00632B60"/>
    <w:rsid w:val="00635832"/>
    <w:rsid w:val="006910CC"/>
    <w:rsid w:val="006C1C41"/>
    <w:rsid w:val="00731C49"/>
    <w:rsid w:val="007500E3"/>
    <w:rsid w:val="007A6412"/>
    <w:rsid w:val="007C1655"/>
    <w:rsid w:val="007C6202"/>
    <w:rsid w:val="0082470D"/>
    <w:rsid w:val="00852F2D"/>
    <w:rsid w:val="008D2919"/>
    <w:rsid w:val="008F3F5A"/>
    <w:rsid w:val="009008DB"/>
    <w:rsid w:val="00911690"/>
    <w:rsid w:val="00912204"/>
    <w:rsid w:val="00935705"/>
    <w:rsid w:val="009370F9"/>
    <w:rsid w:val="00943716"/>
    <w:rsid w:val="009A7A95"/>
    <w:rsid w:val="009C0422"/>
    <w:rsid w:val="009D5BDE"/>
    <w:rsid w:val="00A16A66"/>
    <w:rsid w:val="00A36F50"/>
    <w:rsid w:val="00A46296"/>
    <w:rsid w:val="00A620C7"/>
    <w:rsid w:val="00AD7726"/>
    <w:rsid w:val="00AE6AA2"/>
    <w:rsid w:val="00B03503"/>
    <w:rsid w:val="00B049E4"/>
    <w:rsid w:val="00B04E54"/>
    <w:rsid w:val="00B53EB1"/>
    <w:rsid w:val="00BE32B0"/>
    <w:rsid w:val="00BF14DD"/>
    <w:rsid w:val="00C10257"/>
    <w:rsid w:val="00C102F0"/>
    <w:rsid w:val="00C15AFF"/>
    <w:rsid w:val="00C763BD"/>
    <w:rsid w:val="00CF3D48"/>
    <w:rsid w:val="00D074CB"/>
    <w:rsid w:val="00D5566D"/>
    <w:rsid w:val="00D7178F"/>
    <w:rsid w:val="00D87A30"/>
    <w:rsid w:val="00D92BBA"/>
    <w:rsid w:val="00D94F26"/>
    <w:rsid w:val="00E17034"/>
    <w:rsid w:val="00E44AE1"/>
    <w:rsid w:val="00ED21E5"/>
    <w:rsid w:val="00EE5495"/>
    <w:rsid w:val="00F059C3"/>
    <w:rsid w:val="00F31DA3"/>
    <w:rsid w:val="00F37550"/>
    <w:rsid w:val="00FA7A1C"/>
    <w:rsid w:val="00FB64A3"/>
    <w:rsid w:val="00FC063C"/>
    <w:rsid w:val="00FC2AFE"/>
    <w:rsid w:val="00F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296"/>
    <w:rPr>
      <w:kern w:val="2"/>
    </w:rPr>
  </w:style>
  <w:style w:type="paragraph" w:styleId="a7">
    <w:name w:val="footer"/>
    <w:basedOn w:val="a"/>
    <w:link w:val="a8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296"/>
    <w:rPr>
      <w:kern w:val="2"/>
    </w:rPr>
  </w:style>
  <w:style w:type="paragraph" w:customStyle="1" w:styleId="Default">
    <w:name w:val="Default"/>
    <w:rsid w:val="00574A08"/>
    <w:pPr>
      <w:widowControl w:val="0"/>
      <w:autoSpaceDE w:val="0"/>
      <w:autoSpaceDN w:val="0"/>
      <w:adjustRightInd w:val="0"/>
    </w:pPr>
    <w:rPr>
      <w:rFonts w:ascii="標楷體=.." w:eastAsia="標楷體=.." w:cs="標楷體=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296"/>
    <w:rPr>
      <w:kern w:val="2"/>
    </w:rPr>
  </w:style>
  <w:style w:type="paragraph" w:styleId="a7">
    <w:name w:val="footer"/>
    <w:basedOn w:val="a"/>
    <w:link w:val="a8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296"/>
    <w:rPr>
      <w:kern w:val="2"/>
    </w:rPr>
  </w:style>
  <w:style w:type="paragraph" w:customStyle="1" w:styleId="Default">
    <w:name w:val="Default"/>
    <w:rsid w:val="00574A08"/>
    <w:pPr>
      <w:widowControl w:val="0"/>
      <w:autoSpaceDE w:val="0"/>
      <w:autoSpaceDN w:val="0"/>
      <w:adjustRightInd w:val="0"/>
    </w:pPr>
    <w:rPr>
      <w:rFonts w:ascii="標楷體=.." w:eastAsia="標楷體=.." w:cs="標楷體=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41</cp:revision>
  <dcterms:created xsi:type="dcterms:W3CDTF">2017-10-13T06:30:00Z</dcterms:created>
  <dcterms:modified xsi:type="dcterms:W3CDTF">2020-05-05T00:42:00Z</dcterms:modified>
</cp:coreProperties>
</file>